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CF082" w14:textId="43259063" w:rsidR="002B2595" w:rsidRPr="0056577E" w:rsidRDefault="00982362" w:rsidP="002B2595">
      <w:pPr>
        <w:spacing w:after="0" w:line="240" w:lineRule="auto"/>
        <w:rPr>
          <w:rFonts w:ascii="Verdana" w:hAnsi="Verdana"/>
        </w:rPr>
      </w:pPr>
      <w:r>
        <w:rPr>
          <w:noProof/>
          <w:lang w:eastAsia="ru-RU"/>
        </w:rPr>
        <w:drawing>
          <wp:inline distT="0" distB="0" distL="0" distR="0" wp14:anchorId="1320FE3C" wp14:editId="62C8B8B7">
            <wp:extent cx="4140200" cy="660400"/>
            <wp:effectExtent l="0" t="0" r="0" b="635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6220" cy="659765"/>
                    </a:xfrm>
                    <a:prstGeom prst="rect">
                      <a:avLst/>
                    </a:prstGeom>
                    <a:noFill/>
                    <a:ln>
                      <a:noFill/>
                    </a:ln>
                  </pic:spPr>
                </pic:pic>
              </a:graphicData>
            </a:graphic>
          </wp:inline>
        </w:drawing>
      </w:r>
    </w:p>
    <w:p w14:paraId="35B37EEC" w14:textId="77777777" w:rsidR="002B2595" w:rsidRPr="0056577E" w:rsidRDefault="002B2595" w:rsidP="002B2595">
      <w:pPr>
        <w:spacing w:after="0" w:line="240" w:lineRule="auto"/>
        <w:jc w:val="center"/>
        <w:rPr>
          <w:rFonts w:ascii="Verdana" w:hAnsi="Verdana"/>
          <w:b/>
          <w:sz w:val="24"/>
          <w:szCs w:val="24"/>
        </w:rPr>
      </w:pPr>
    </w:p>
    <w:p w14:paraId="4218F974" w14:textId="77777777" w:rsidR="00C24A08" w:rsidRDefault="00C24A08" w:rsidP="002B2595">
      <w:pPr>
        <w:spacing w:after="0" w:line="240" w:lineRule="auto"/>
        <w:jc w:val="center"/>
        <w:rPr>
          <w:rFonts w:ascii="Verdana" w:hAnsi="Verdana"/>
          <w:b/>
          <w:sz w:val="24"/>
          <w:szCs w:val="24"/>
        </w:rPr>
      </w:pPr>
    </w:p>
    <w:p w14:paraId="14088EBE" w14:textId="77777777" w:rsidR="00155C04" w:rsidRDefault="00155C04" w:rsidP="002B2595">
      <w:pPr>
        <w:spacing w:after="0" w:line="240" w:lineRule="auto"/>
        <w:jc w:val="center"/>
        <w:rPr>
          <w:rFonts w:ascii="Verdana" w:hAnsi="Verdana"/>
          <w:b/>
          <w:sz w:val="24"/>
          <w:szCs w:val="24"/>
        </w:rPr>
      </w:pPr>
    </w:p>
    <w:p w14:paraId="0E88AEB8" w14:textId="77777777" w:rsidR="00155C04" w:rsidRPr="0056577E" w:rsidRDefault="00155C04" w:rsidP="00155C04">
      <w:pPr>
        <w:spacing w:after="0" w:line="240" w:lineRule="auto"/>
        <w:rPr>
          <w:rFonts w:ascii="Verdana" w:hAnsi="Verdana"/>
          <w:b/>
          <w:sz w:val="24"/>
          <w:szCs w:val="24"/>
        </w:rPr>
      </w:pPr>
    </w:p>
    <w:p w14:paraId="2CA37C52" w14:textId="7D5849B1" w:rsidR="00155C04" w:rsidRPr="00155C04" w:rsidRDefault="00982362" w:rsidP="00155C04">
      <w:pPr>
        <w:spacing w:after="0" w:line="240" w:lineRule="auto"/>
        <w:jc w:val="center"/>
        <w:rPr>
          <w:rFonts w:ascii="Verdana" w:hAnsi="Verdana"/>
          <w:b/>
          <w:sz w:val="24"/>
          <w:szCs w:val="24"/>
          <w:lang w:val="kk-KZ"/>
        </w:rPr>
      </w:pPr>
      <w:r w:rsidRPr="00155C04">
        <w:rPr>
          <w:rFonts w:ascii="Verdana" w:hAnsi="Verdana"/>
          <w:b/>
          <w:sz w:val="24"/>
          <w:szCs w:val="24"/>
          <w:lang w:val="kk-KZ"/>
        </w:rPr>
        <w:t>№</w:t>
      </w:r>
      <w:r w:rsidR="00155C04" w:rsidRPr="00155C04">
        <w:rPr>
          <w:rFonts w:ascii="Verdana" w:hAnsi="Verdana"/>
          <w:b/>
          <w:sz w:val="24"/>
          <w:szCs w:val="24"/>
          <w:lang w:val="kk-KZ"/>
        </w:rPr>
        <w:t>20</w:t>
      </w:r>
      <w:r w:rsidRPr="00155C04">
        <w:rPr>
          <w:rFonts w:ascii="Verdana" w:hAnsi="Verdana"/>
          <w:b/>
          <w:sz w:val="24"/>
          <w:szCs w:val="24"/>
          <w:lang w:val="kk-KZ"/>
        </w:rPr>
        <w:t xml:space="preserve">  БАСПАСӨЗ РЕЛИЗІ </w:t>
      </w:r>
    </w:p>
    <w:p w14:paraId="62F9AA7F" w14:textId="77777777" w:rsidR="00982362" w:rsidRPr="00155C04" w:rsidRDefault="00982362" w:rsidP="00982362">
      <w:pPr>
        <w:spacing w:after="0" w:line="240" w:lineRule="auto"/>
        <w:jc w:val="center"/>
        <w:rPr>
          <w:rFonts w:ascii="Verdana" w:hAnsi="Verdana"/>
          <w:b/>
          <w:sz w:val="24"/>
          <w:szCs w:val="24"/>
          <w:lang w:val="kk-KZ"/>
        </w:rPr>
      </w:pPr>
    </w:p>
    <w:p w14:paraId="1F0EB74F" w14:textId="77777777" w:rsidR="00982362" w:rsidRPr="00155C04" w:rsidRDefault="00982362" w:rsidP="00982362">
      <w:pPr>
        <w:spacing w:after="0" w:line="240" w:lineRule="auto"/>
        <w:jc w:val="center"/>
        <w:rPr>
          <w:b/>
          <w:bCs/>
          <w:snapToGrid w:val="0"/>
          <w:sz w:val="24"/>
          <w:szCs w:val="24"/>
          <w:lang w:val="kk-KZ"/>
        </w:rPr>
      </w:pPr>
      <w:r w:rsidRPr="00155C04">
        <w:rPr>
          <w:b/>
          <w:bCs/>
          <w:snapToGrid w:val="0"/>
          <w:sz w:val="24"/>
          <w:szCs w:val="24"/>
          <w:lang w:val="kk-KZ"/>
        </w:rPr>
        <w:t xml:space="preserve">Қаржы нарығындағы ахуал туралы </w:t>
      </w:r>
    </w:p>
    <w:p w14:paraId="129B1E21" w14:textId="77777777" w:rsidR="00982362" w:rsidRPr="00982362" w:rsidRDefault="00982362" w:rsidP="00982362">
      <w:pPr>
        <w:autoSpaceDE w:val="0"/>
        <w:autoSpaceDN w:val="0"/>
        <w:adjustRightInd w:val="0"/>
        <w:spacing w:after="0" w:line="240" w:lineRule="auto"/>
        <w:jc w:val="center"/>
        <w:rPr>
          <w:rFonts w:cs="Calibri"/>
          <w:b/>
          <w:color w:val="000000"/>
          <w:lang w:val="kk-KZ" w:eastAsia="ru-RU"/>
        </w:rPr>
      </w:pPr>
    </w:p>
    <w:p w14:paraId="63DF95F4" w14:textId="77777777" w:rsidR="00982362" w:rsidRPr="00982362" w:rsidRDefault="00982362" w:rsidP="00982362">
      <w:pPr>
        <w:autoSpaceDE w:val="0"/>
        <w:autoSpaceDN w:val="0"/>
        <w:adjustRightInd w:val="0"/>
        <w:spacing w:after="0" w:line="240" w:lineRule="auto"/>
        <w:jc w:val="center"/>
        <w:rPr>
          <w:rFonts w:cs="Calibri"/>
          <w:b/>
          <w:color w:val="000000"/>
          <w:lang w:val="kk-KZ" w:eastAsia="ru-RU"/>
        </w:rPr>
      </w:pPr>
    </w:p>
    <w:p w14:paraId="138893CD" w14:textId="5F674564" w:rsidR="00982362" w:rsidRPr="00155C04" w:rsidRDefault="00982362" w:rsidP="00982362">
      <w:pPr>
        <w:tabs>
          <w:tab w:val="left" w:pos="7938"/>
        </w:tabs>
        <w:spacing w:after="0" w:line="240" w:lineRule="auto"/>
        <w:rPr>
          <w:rFonts w:ascii="Verdana" w:hAnsi="Verdana"/>
          <w:sz w:val="24"/>
          <w:szCs w:val="24"/>
          <w:lang w:val="kk-KZ"/>
        </w:rPr>
      </w:pPr>
      <w:r w:rsidRPr="00155C04">
        <w:rPr>
          <w:rFonts w:ascii="Verdana" w:hAnsi="Verdana"/>
          <w:sz w:val="24"/>
          <w:szCs w:val="24"/>
          <w:lang w:val="kk-KZ"/>
        </w:rPr>
        <w:t xml:space="preserve">2017 жылғы </w:t>
      </w:r>
      <w:bookmarkStart w:id="0" w:name="_GoBack"/>
      <w:r w:rsidR="00155C04" w:rsidRPr="00155C04">
        <w:rPr>
          <w:rFonts w:ascii="Verdana" w:hAnsi="Verdana"/>
          <w:sz w:val="24"/>
          <w:szCs w:val="24"/>
          <w:lang w:val="kk-KZ"/>
        </w:rPr>
        <w:t>31</w:t>
      </w:r>
      <w:r w:rsidRPr="00155C04">
        <w:rPr>
          <w:rFonts w:ascii="Verdana" w:hAnsi="Verdana"/>
          <w:sz w:val="24"/>
          <w:szCs w:val="24"/>
          <w:lang w:val="kk-KZ"/>
        </w:rPr>
        <w:t xml:space="preserve"> шілде</w:t>
      </w:r>
      <w:bookmarkEnd w:id="0"/>
      <w:r w:rsidRPr="00155C04">
        <w:rPr>
          <w:rFonts w:ascii="Verdana" w:hAnsi="Verdana"/>
          <w:sz w:val="24"/>
          <w:szCs w:val="24"/>
          <w:lang w:val="kk-KZ"/>
        </w:rPr>
        <w:t xml:space="preserve"> </w:t>
      </w:r>
      <w:r w:rsidRPr="00155C04">
        <w:rPr>
          <w:rFonts w:ascii="Verdana" w:hAnsi="Verdana"/>
          <w:sz w:val="24"/>
          <w:szCs w:val="24"/>
          <w:lang w:val="kk-KZ"/>
        </w:rPr>
        <w:tab/>
        <w:t>Алматы қ.</w:t>
      </w:r>
    </w:p>
    <w:p w14:paraId="799AD0FF" w14:textId="77777777" w:rsidR="00982362" w:rsidRDefault="00982362" w:rsidP="00982362">
      <w:pPr>
        <w:spacing w:after="0" w:line="240" w:lineRule="auto"/>
        <w:rPr>
          <w:rFonts w:ascii="Verdana" w:hAnsi="Verdana"/>
          <w:lang w:val="kk-KZ"/>
        </w:rPr>
      </w:pPr>
    </w:p>
    <w:p w14:paraId="4350C950" w14:textId="77777777" w:rsidR="00982362" w:rsidRDefault="00982362" w:rsidP="00982362">
      <w:pPr>
        <w:spacing w:after="0" w:line="240" w:lineRule="auto"/>
        <w:rPr>
          <w:rFonts w:ascii="Verdana" w:hAnsi="Verdana"/>
          <w:lang w:val="kk-KZ"/>
        </w:rPr>
      </w:pPr>
    </w:p>
    <w:p w14:paraId="0D47D383" w14:textId="381300C5" w:rsidR="00982362" w:rsidRDefault="00982362" w:rsidP="00982362">
      <w:pPr>
        <w:pStyle w:val="ac"/>
        <w:keepNext/>
        <w:numPr>
          <w:ilvl w:val="0"/>
          <w:numId w:val="8"/>
        </w:numPr>
        <w:tabs>
          <w:tab w:val="left" w:pos="1134"/>
        </w:tabs>
        <w:spacing w:after="0" w:line="240" w:lineRule="auto"/>
        <w:ind w:left="0" w:firstLine="709"/>
        <w:jc w:val="both"/>
        <w:rPr>
          <w:b/>
          <w:sz w:val="24"/>
          <w:szCs w:val="24"/>
          <w:lang w:val="kk-KZ"/>
        </w:rPr>
      </w:pPr>
      <w:r>
        <w:rPr>
          <w:b/>
          <w:sz w:val="24"/>
          <w:szCs w:val="24"/>
          <w:lang w:val="kk-KZ"/>
        </w:rPr>
        <w:t>2017 жылғы ма</w:t>
      </w:r>
      <w:r w:rsidR="00A04AB5">
        <w:rPr>
          <w:b/>
          <w:sz w:val="24"/>
          <w:szCs w:val="24"/>
          <w:lang w:val="kk-KZ"/>
        </w:rPr>
        <w:t>усым</w:t>
      </w:r>
      <w:r>
        <w:rPr>
          <w:b/>
          <w:sz w:val="24"/>
          <w:szCs w:val="24"/>
          <w:lang w:val="kk-KZ"/>
        </w:rPr>
        <w:t>дағы инфляция және инфляциялық күтулер</w:t>
      </w:r>
    </w:p>
    <w:p w14:paraId="178A0D14" w14:textId="04EE5A27" w:rsidR="00982362" w:rsidRDefault="00982362" w:rsidP="00982362">
      <w:pPr>
        <w:spacing w:after="0" w:line="240" w:lineRule="auto"/>
        <w:ind w:firstLine="708"/>
        <w:jc w:val="both"/>
        <w:rPr>
          <w:sz w:val="24"/>
          <w:szCs w:val="24"/>
          <w:lang w:val="kk-KZ"/>
        </w:rPr>
      </w:pPr>
      <w:r>
        <w:rPr>
          <w:sz w:val="24"/>
          <w:szCs w:val="24"/>
          <w:lang w:val="kk-KZ"/>
        </w:rPr>
        <w:t>Қазақстан Республикасында инфляция 2017 жылғы маусымда 0,4%, ағымдағы жылдың басынан бері – 3,7% болды.</w:t>
      </w:r>
    </w:p>
    <w:p w14:paraId="26246C7E" w14:textId="69D851B7" w:rsidR="00982362" w:rsidRDefault="00982362" w:rsidP="00982362">
      <w:pPr>
        <w:spacing w:after="0" w:line="240" w:lineRule="auto"/>
        <w:ind w:firstLine="708"/>
        <w:jc w:val="both"/>
        <w:rPr>
          <w:sz w:val="24"/>
          <w:szCs w:val="24"/>
          <w:lang w:val="kk-KZ"/>
        </w:rPr>
      </w:pPr>
      <w:r>
        <w:rPr>
          <w:sz w:val="24"/>
          <w:szCs w:val="24"/>
          <w:lang w:val="kk-KZ"/>
        </w:rPr>
        <w:t>Жылдық көрсеткіш бойынша инфляция 7,5% деңгейінде сақталды және 2017 жылға арналған 6-8% нысаналы дәліз шегінде болуын жалғастыруда. Азық-түлік тауарларының бағасы жылдық көрсеткіште 9,7%-ға, азық-түлікке жатпайтын тауарлар – 7,7%-ға, ақылы қызметтер –  4,8%-ға көтерілді.</w:t>
      </w:r>
    </w:p>
    <w:p w14:paraId="2758CBCB" w14:textId="148EEA23" w:rsidR="00155C04" w:rsidRPr="00EC6EB5" w:rsidRDefault="00EC6EB5" w:rsidP="00155C04">
      <w:pPr>
        <w:spacing w:after="0" w:line="240" w:lineRule="auto"/>
        <w:ind w:firstLine="708"/>
        <w:jc w:val="both"/>
        <w:rPr>
          <w:sz w:val="24"/>
          <w:szCs w:val="24"/>
          <w:lang w:val="kk-KZ"/>
        </w:rPr>
      </w:pPr>
      <w:r>
        <w:rPr>
          <w:rFonts w:cs="Calibri"/>
          <w:color w:val="000000"/>
          <w:sz w:val="24"/>
          <w:szCs w:val="24"/>
          <w:lang w:val="kk-KZ"/>
        </w:rPr>
        <w:t xml:space="preserve">Халық арасында жүргізілген пікіртерім нәтижелері бойынша инфляцияның бір жылдан кейін күтілетін сандық бағасы 2017 жылғы </w:t>
      </w:r>
      <w:r w:rsidR="00CD4EE8">
        <w:rPr>
          <w:sz w:val="24"/>
          <w:szCs w:val="24"/>
          <w:lang w:val="kk-KZ"/>
        </w:rPr>
        <w:t>маусымда</w:t>
      </w:r>
      <w:r w:rsidR="00D71D7A" w:rsidRPr="00EC6EB5">
        <w:rPr>
          <w:sz w:val="24"/>
          <w:szCs w:val="24"/>
          <w:lang w:val="kk-KZ"/>
        </w:rPr>
        <w:t xml:space="preserve"> 6,4%</w:t>
      </w:r>
      <w:r w:rsidR="00CD4EE8">
        <w:rPr>
          <w:sz w:val="24"/>
          <w:szCs w:val="24"/>
          <w:lang w:val="kk-KZ"/>
        </w:rPr>
        <w:t xml:space="preserve"> болды</w:t>
      </w:r>
      <w:r w:rsidR="00D71D7A" w:rsidRPr="00EC6EB5">
        <w:rPr>
          <w:sz w:val="24"/>
          <w:szCs w:val="24"/>
          <w:lang w:val="kk-KZ"/>
        </w:rPr>
        <w:t xml:space="preserve"> (</w:t>
      </w:r>
      <w:r w:rsidR="00CD4EE8">
        <w:rPr>
          <w:sz w:val="24"/>
          <w:szCs w:val="24"/>
          <w:lang w:val="kk-KZ"/>
        </w:rPr>
        <w:t>1-</w:t>
      </w:r>
      <w:r w:rsidR="00D71D7A" w:rsidRPr="00EC6EB5">
        <w:rPr>
          <w:sz w:val="24"/>
          <w:szCs w:val="24"/>
          <w:lang w:val="kk-KZ"/>
        </w:rPr>
        <w:t>график).</w:t>
      </w:r>
    </w:p>
    <w:p w14:paraId="75193975" w14:textId="77777777" w:rsidR="00D71D7A" w:rsidRPr="00EC6EB5" w:rsidRDefault="00D71D7A" w:rsidP="00D71D7A">
      <w:pPr>
        <w:spacing w:after="0" w:line="240" w:lineRule="auto"/>
        <w:ind w:firstLine="708"/>
        <w:jc w:val="both"/>
        <w:rPr>
          <w:sz w:val="24"/>
          <w:szCs w:val="24"/>
          <w:lang w:val="kk-KZ"/>
        </w:rPr>
      </w:pPr>
    </w:p>
    <w:p w14:paraId="63BE4473" w14:textId="7827154C" w:rsidR="0056577E" w:rsidRPr="0056577E" w:rsidRDefault="00CD4EE8" w:rsidP="0056577E">
      <w:pPr>
        <w:spacing w:after="0" w:line="240" w:lineRule="auto"/>
        <w:ind w:firstLine="708"/>
        <w:jc w:val="both"/>
        <w:rPr>
          <w:sz w:val="24"/>
          <w:szCs w:val="24"/>
        </w:rPr>
      </w:pPr>
      <w:r>
        <w:rPr>
          <w:sz w:val="24"/>
          <w:szCs w:val="24"/>
          <w:lang w:val="kk-KZ"/>
        </w:rPr>
        <w:t>1-г</w:t>
      </w:r>
      <w:proofErr w:type="spellStart"/>
      <w:r w:rsidR="0056577E" w:rsidRPr="0056577E">
        <w:rPr>
          <w:sz w:val="24"/>
          <w:szCs w:val="24"/>
        </w:rPr>
        <w:t>рафик</w:t>
      </w:r>
      <w:proofErr w:type="spellEnd"/>
    </w:p>
    <w:p w14:paraId="3670A965" w14:textId="77777777" w:rsidR="00A1795B" w:rsidRDefault="00A1795B" w:rsidP="00A1795B">
      <w:pPr>
        <w:spacing w:after="0" w:line="240" w:lineRule="auto"/>
        <w:ind w:firstLine="708"/>
        <w:jc w:val="both"/>
        <w:rPr>
          <w:b/>
          <w:sz w:val="24"/>
          <w:szCs w:val="24"/>
          <w:lang w:val="kk-KZ"/>
        </w:rPr>
      </w:pPr>
      <w:r>
        <w:rPr>
          <w:b/>
          <w:sz w:val="24"/>
          <w:szCs w:val="24"/>
          <w:lang w:val="kk-KZ"/>
        </w:rPr>
        <w:t xml:space="preserve">Инфляция және күтілетін инфляция </w:t>
      </w:r>
    </w:p>
    <w:p w14:paraId="7190BB04" w14:textId="77777777" w:rsidR="0056577E" w:rsidRPr="0056577E" w:rsidRDefault="00D71D7A" w:rsidP="0056577E">
      <w:pPr>
        <w:spacing w:after="0" w:line="240" w:lineRule="auto"/>
        <w:jc w:val="center"/>
        <w:rPr>
          <w:sz w:val="24"/>
          <w:szCs w:val="24"/>
        </w:rPr>
      </w:pPr>
      <w:r w:rsidRPr="00CE0100">
        <w:rPr>
          <w:noProof/>
          <w:color w:val="996633"/>
          <w:sz w:val="24"/>
          <w:lang w:eastAsia="ru-RU"/>
        </w:rPr>
        <w:drawing>
          <wp:inline distT="0" distB="0" distL="0" distR="0" wp14:anchorId="797D3FB7" wp14:editId="670AA74F">
            <wp:extent cx="5753100" cy="25241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A6F759" w14:textId="77777777" w:rsidR="00A1795B" w:rsidRDefault="00A1795B" w:rsidP="00A1795B">
      <w:pPr>
        <w:spacing w:after="0" w:line="240" w:lineRule="auto"/>
        <w:ind w:firstLine="708"/>
        <w:jc w:val="both"/>
        <w:rPr>
          <w:sz w:val="20"/>
          <w:szCs w:val="24"/>
          <w:lang w:val="kk-KZ"/>
        </w:rPr>
      </w:pPr>
      <w:r>
        <w:rPr>
          <w:sz w:val="20"/>
          <w:szCs w:val="24"/>
          <w:lang w:val="kk-KZ"/>
        </w:rPr>
        <w:t xml:space="preserve">Дереккөзі: Қазақстан Республикасы Ұлттық экономика министрлігінің Статистика комитеті, GfK Kazakhstan </w:t>
      </w:r>
    </w:p>
    <w:p w14:paraId="49631E78" w14:textId="77777777" w:rsidR="00155C04" w:rsidRDefault="00155C04" w:rsidP="00A1795B">
      <w:pPr>
        <w:spacing w:after="0" w:line="240" w:lineRule="auto"/>
        <w:ind w:firstLine="708"/>
        <w:jc w:val="both"/>
        <w:rPr>
          <w:b/>
          <w:sz w:val="24"/>
          <w:szCs w:val="24"/>
          <w:lang w:val="kk-KZ"/>
        </w:rPr>
      </w:pPr>
    </w:p>
    <w:p w14:paraId="7A7089F4" w14:textId="77777777" w:rsidR="00C24A08" w:rsidRPr="00A1795B" w:rsidRDefault="00C24A08" w:rsidP="00256785">
      <w:pPr>
        <w:spacing w:after="0" w:line="240" w:lineRule="auto"/>
        <w:ind w:firstLine="708"/>
        <w:jc w:val="both"/>
        <w:rPr>
          <w:rFonts w:cs="Calibri"/>
          <w:color w:val="000000"/>
          <w:sz w:val="24"/>
          <w:szCs w:val="24"/>
          <w:lang w:val="kk-KZ"/>
        </w:rPr>
      </w:pPr>
    </w:p>
    <w:p w14:paraId="4B056903" w14:textId="3351EAC7" w:rsidR="00E64B24" w:rsidRDefault="00E64B24" w:rsidP="00E64B24">
      <w:pPr>
        <w:pStyle w:val="ac"/>
        <w:keepNext/>
        <w:numPr>
          <w:ilvl w:val="0"/>
          <w:numId w:val="8"/>
        </w:numPr>
        <w:tabs>
          <w:tab w:val="left" w:pos="1134"/>
        </w:tabs>
        <w:spacing w:after="0" w:line="240" w:lineRule="auto"/>
        <w:ind w:left="0" w:firstLine="709"/>
        <w:jc w:val="both"/>
        <w:rPr>
          <w:b/>
          <w:sz w:val="24"/>
          <w:szCs w:val="24"/>
          <w:lang w:val="kk-KZ"/>
        </w:rPr>
      </w:pPr>
      <w:r>
        <w:rPr>
          <w:b/>
          <w:sz w:val="24"/>
          <w:szCs w:val="24"/>
          <w:lang w:val="kk-KZ"/>
        </w:rPr>
        <w:t>2017 жылғы маусымдағы халықаралық резервтер</w:t>
      </w:r>
      <w:r w:rsidR="00275E39">
        <w:rPr>
          <w:b/>
          <w:sz w:val="24"/>
          <w:szCs w:val="24"/>
          <w:lang w:val="kk-KZ"/>
        </w:rPr>
        <w:t xml:space="preserve"> </w:t>
      </w:r>
      <w:r>
        <w:rPr>
          <w:b/>
          <w:sz w:val="24"/>
          <w:szCs w:val="24"/>
          <w:lang w:val="kk-KZ"/>
        </w:rPr>
        <w:t xml:space="preserve">және ақша агрегаттары </w:t>
      </w:r>
    </w:p>
    <w:p w14:paraId="299A71C8" w14:textId="33C5F445" w:rsidR="00E64B24" w:rsidRDefault="00E64B24" w:rsidP="00E64B24">
      <w:pPr>
        <w:autoSpaceDE w:val="0"/>
        <w:autoSpaceDN w:val="0"/>
        <w:adjustRightInd w:val="0"/>
        <w:spacing w:after="0" w:line="240" w:lineRule="auto"/>
        <w:ind w:firstLine="708"/>
        <w:contextualSpacing/>
        <w:jc w:val="both"/>
        <w:rPr>
          <w:rFonts w:eastAsia="Calibri"/>
          <w:sz w:val="24"/>
          <w:szCs w:val="24"/>
          <w:lang w:val="kk-KZ"/>
        </w:rPr>
      </w:pPr>
      <w:r>
        <w:rPr>
          <w:rFonts w:eastAsia="Calibri"/>
          <w:sz w:val="24"/>
          <w:szCs w:val="24"/>
          <w:lang w:val="kk-KZ"/>
        </w:rPr>
        <w:t>2017 жылғы маусымда Ұлттық Банктің жалпы халықаралық резервтері 30,</w:t>
      </w:r>
      <w:r w:rsidR="00293233">
        <w:rPr>
          <w:rFonts w:eastAsia="Calibri"/>
          <w:sz w:val="24"/>
          <w:szCs w:val="24"/>
          <w:lang w:val="kk-KZ"/>
        </w:rPr>
        <w:t>0</w:t>
      </w:r>
      <w:r>
        <w:rPr>
          <w:rFonts w:eastAsia="Calibri"/>
          <w:sz w:val="24"/>
          <w:szCs w:val="24"/>
          <w:lang w:val="kk-KZ"/>
        </w:rPr>
        <w:t xml:space="preserve"> млрд. АҚШ доллар</w:t>
      </w:r>
      <w:r w:rsidR="002D518D">
        <w:rPr>
          <w:rFonts w:eastAsia="Calibri"/>
          <w:sz w:val="24"/>
          <w:szCs w:val="24"/>
          <w:lang w:val="kk-KZ"/>
        </w:rPr>
        <w:t>ын</w:t>
      </w:r>
      <w:r>
        <w:rPr>
          <w:rFonts w:eastAsia="Calibri"/>
          <w:sz w:val="24"/>
          <w:szCs w:val="24"/>
          <w:lang w:val="kk-KZ"/>
        </w:rPr>
        <w:t xml:space="preserve"> </w:t>
      </w:r>
      <w:r w:rsidR="002D518D">
        <w:rPr>
          <w:rFonts w:eastAsia="Calibri"/>
          <w:sz w:val="24"/>
          <w:szCs w:val="24"/>
          <w:lang w:val="kk-KZ"/>
        </w:rPr>
        <w:t>құрады, оның ішінде ш</w:t>
      </w:r>
      <w:r>
        <w:rPr>
          <w:rFonts w:eastAsia="Calibri"/>
          <w:sz w:val="24"/>
          <w:szCs w:val="24"/>
          <w:lang w:val="kk-KZ"/>
        </w:rPr>
        <w:t xml:space="preserve">етел валютасындағы активтер </w:t>
      </w:r>
      <w:r w:rsidR="002D518D">
        <w:rPr>
          <w:rFonts w:eastAsia="Calibri"/>
          <w:sz w:val="24"/>
          <w:szCs w:val="24"/>
          <w:lang w:val="kk-KZ"/>
        </w:rPr>
        <w:t xml:space="preserve">- </w:t>
      </w:r>
      <w:r>
        <w:rPr>
          <w:rFonts w:eastAsia="Calibri"/>
          <w:sz w:val="24"/>
          <w:szCs w:val="24"/>
          <w:lang w:val="kk-KZ"/>
        </w:rPr>
        <w:t>18,</w:t>
      </w:r>
      <w:r w:rsidR="00293233">
        <w:rPr>
          <w:rFonts w:eastAsia="Calibri"/>
          <w:sz w:val="24"/>
          <w:szCs w:val="24"/>
          <w:lang w:val="kk-KZ"/>
        </w:rPr>
        <w:t>9</w:t>
      </w:r>
      <w:r>
        <w:rPr>
          <w:rFonts w:eastAsia="Calibri"/>
          <w:sz w:val="24"/>
          <w:szCs w:val="24"/>
          <w:lang w:val="kk-KZ"/>
        </w:rPr>
        <w:t xml:space="preserve"> млрд. АҚШ доллар</w:t>
      </w:r>
      <w:r w:rsidR="002D518D">
        <w:rPr>
          <w:rFonts w:eastAsia="Calibri"/>
          <w:sz w:val="24"/>
          <w:szCs w:val="24"/>
          <w:lang w:val="kk-KZ"/>
        </w:rPr>
        <w:t>ы</w:t>
      </w:r>
      <w:r w:rsidR="00C86822">
        <w:rPr>
          <w:rFonts w:eastAsia="Calibri"/>
          <w:sz w:val="24"/>
          <w:szCs w:val="24"/>
          <w:lang w:val="kk-KZ"/>
        </w:rPr>
        <w:t>н</w:t>
      </w:r>
      <w:r>
        <w:rPr>
          <w:rFonts w:eastAsia="Calibri"/>
          <w:sz w:val="24"/>
          <w:szCs w:val="24"/>
          <w:lang w:val="kk-KZ"/>
        </w:rPr>
        <w:t>, алтындағы активтер  бағасы</w:t>
      </w:r>
      <w:r w:rsidR="00EF784C">
        <w:rPr>
          <w:rFonts w:eastAsia="Calibri"/>
          <w:sz w:val="24"/>
          <w:szCs w:val="24"/>
          <w:lang w:val="kk-KZ"/>
        </w:rPr>
        <w:t>ның</w:t>
      </w:r>
      <w:r>
        <w:rPr>
          <w:rFonts w:eastAsia="Calibri"/>
          <w:sz w:val="24"/>
          <w:szCs w:val="24"/>
          <w:lang w:val="kk-KZ"/>
        </w:rPr>
        <w:t xml:space="preserve"> </w:t>
      </w:r>
      <w:r w:rsidR="002D518D">
        <w:rPr>
          <w:rFonts w:eastAsia="Calibri"/>
          <w:sz w:val="24"/>
          <w:szCs w:val="24"/>
          <w:lang w:val="kk-KZ"/>
        </w:rPr>
        <w:t>-</w:t>
      </w:r>
      <w:r>
        <w:rPr>
          <w:rFonts w:eastAsia="Calibri"/>
          <w:sz w:val="24"/>
          <w:szCs w:val="24"/>
          <w:lang w:val="kk-KZ"/>
        </w:rPr>
        <w:t xml:space="preserve"> 11,2 млрд. АҚШ доллар</w:t>
      </w:r>
      <w:r w:rsidR="002D518D">
        <w:rPr>
          <w:rFonts w:eastAsia="Calibri"/>
          <w:sz w:val="24"/>
          <w:szCs w:val="24"/>
          <w:lang w:val="kk-KZ"/>
        </w:rPr>
        <w:t>ы</w:t>
      </w:r>
      <w:r w:rsidR="00C86822">
        <w:rPr>
          <w:rFonts w:eastAsia="Calibri"/>
          <w:sz w:val="24"/>
          <w:szCs w:val="24"/>
          <w:lang w:val="kk-KZ"/>
        </w:rPr>
        <w:t>н құрады</w:t>
      </w:r>
      <w:r>
        <w:rPr>
          <w:rFonts w:eastAsia="Calibri"/>
          <w:sz w:val="24"/>
          <w:szCs w:val="24"/>
          <w:lang w:val="kk-KZ"/>
        </w:rPr>
        <w:t>.</w:t>
      </w:r>
    </w:p>
    <w:p w14:paraId="250BC965" w14:textId="3DF9A6DE" w:rsidR="00E64B24" w:rsidRDefault="00E64B24" w:rsidP="00E64B24">
      <w:pPr>
        <w:autoSpaceDE w:val="0"/>
        <w:autoSpaceDN w:val="0"/>
        <w:adjustRightInd w:val="0"/>
        <w:spacing w:after="0" w:line="240" w:lineRule="auto"/>
        <w:ind w:firstLine="708"/>
        <w:contextualSpacing/>
        <w:jc w:val="both"/>
        <w:rPr>
          <w:rFonts w:eastAsia="Calibri"/>
          <w:sz w:val="24"/>
          <w:szCs w:val="24"/>
          <w:lang w:val="kk-KZ"/>
        </w:rPr>
      </w:pPr>
      <w:r>
        <w:rPr>
          <w:rFonts w:eastAsia="Calibri"/>
          <w:sz w:val="24"/>
          <w:szCs w:val="24"/>
          <w:lang w:val="kk-KZ"/>
        </w:rPr>
        <w:lastRenderedPageBreak/>
        <w:t>Үкіметтің Ұлттық Банктегі шоттарына  валютаның  түсуі және клиенттердің шетел валютасындағы ағымдағы шоттарындағы қалдықтардың ұлғаюы Ұлттық қордың активтерін толықтыру және Үкіметтің сыртқы борышына қызмет көрсету бойынша операциялар, банктермен жасалған валюталық-пайыздық своп операцияларының бір бөлігін аяқтау операциялар</w:t>
      </w:r>
      <w:r w:rsidR="005929F4">
        <w:rPr>
          <w:rFonts w:eastAsia="Calibri"/>
          <w:sz w:val="24"/>
          <w:szCs w:val="24"/>
          <w:lang w:val="kk-KZ"/>
        </w:rPr>
        <w:t>ы</w:t>
      </w:r>
      <w:r>
        <w:rPr>
          <w:rFonts w:eastAsia="Calibri"/>
          <w:sz w:val="24"/>
          <w:szCs w:val="24"/>
          <w:lang w:val="kk-KZ"/>
        </w:rPr>
        <w:t xml:space="preserve">мен бейтараптандырылды. Сондай-ақ банктердің корреспонденттік  шоттарындағы шетел валютасындағы  қалдықтар төмендеді және ішкі валюта нарығында валюталарды сату жүзеге асырылды. </w:t>
      </w:r>
    </w:p>
    <w:p w14:paraId="5039E2F6" w14:textId="5ABF58EF" w:rsidR="00E64B24" w:rsidRDefault="00E64B24" w:rsidP="00E64B24">
      <w:pPr>
        <w:autoSpaceDE w:val="0"/>
        <w:autoSpaceDN w:val="0"/>
        <w:adjustRightInd w:val="0"/>
        <w:spacing w:after="0" w:line="240" w:lineRule="auto"/>
        <w:ind w:firstLine="708"/>
        <w:contextualSpacing/>
        <w:jc w:val="both"/>
        <w:rPr>
          <w:rFonts w:eastAsia="Calibri"/>
          <w:sz w:val="24"/>
          <w:szCs w:val="24"/>
          <w:lang w:val="kk-KZ"/>
        </w:rPr>
      </w:pPr>
      <w:r>
        <w:rPr>
          <w:rFonts w:eastAsia="Calibri"/>
          <w:sz w:val="24"/>
          <w:szCs w:val="24"/>
          <w:lang w:val="kk-KZ"/>
        </w:rPr>
        <w:t>Ұлттық қордың шетел валютасындағы активтерін қоса алғанда, елдің халықаралық резервтері (62,</w:t>
      </w:r>
      <w:r w:rsidR="002B661D">
        <w:rPr>
          <w:rFonts w:eastAsia="Calibri"/>
          <w:sz w:val="24"/>
          <w:szCs w:val="24"/>
          <w:lang w:val="kk-KZ"/>
        </w:rPr>
        <w:t>2</w:t>
      </w:r>
      <w:r>
        <w:rPr>
          <w:rFonts w:eastAsia="Calibri"/>
          <w:sz w:val="24"/>
          <w:szCs w:val="24"/>
          <w:lang w:val="kk-KZ"/>
        </w:rPr>
        <w:t xml:space="preserve"> млрд. АҚШ доллары) 2017 жылғы маусымда 92,</w:t>
      </w:r>
      <w:r w:rsidR="00293233">
        <w:rPr>
          <w:rFonts w:eastAsia="Calibri"/>
          <w:sz w:val="24"/>
          <w:szCs w:val="24"/>
          <w:lang w:val="kk-KZ"/>
        </w:rPr>
        <w:t>2</w:t>
      </w:r>
      <w:r>
        <w:rPr>
          <w:rFonts w:eastAsia="Calibri"/>
          <w:sz w:val="24"/>
          <w:szCs w:val="24"/>
          <w:lang w:val="kk-KZ"/>
        </w:rPr>
        <w:t xml:space="preserve"> млрд. АҚШ долларына дейін </w:t>
      </w:r>
      <w:r w:rsidR="00293233">
        <w:rPr>
          <w:rFonts w:eastAsia="Calibri"/>
          <w:sz w:val="24"/>
          <w:szCs w:val="24"/>
          <w:lang w:val="kk-KZ"/>
        </w:rPr>
        <w:t>1,1</w:t>
      </w:r>
      <w:r>
        <w:rPr>
          <w:rFonts w:eastAsia="Calibri"/>
          <w:sz w:val="24"/>
          <w:szCs w:val="24"/>
          <w:lang w:val="kk-KZ"/>
        </w:rPr>
        <w:t xml:space="preserve">%-ға төмендеді. </w:t>
      </w:r>
    </w:p>
    <w:p w14:paraId="57C4C4D8" w14:textId="15052825" w:rsidR="00E64B24" w:rsidRDefault="00E64B24" w:rsidP="00E64B24">
      <w:pPr>
        <w:autoSpaceDE w:val="0"/>
        <w:autoSpaceDN w:val="0"/>
        <w:adjustRightInd w:val="0"/>
        <w:spacing w:after="0" w:line="240" w:lineRule="auto"/>
        <w:ind w:firstLine="708"/>
        <w:contextualSpacing/>
        <w:jc w:val="both"/>
        <w:rPr>
          <w:rFonts w:eastAsia="Calibri"/>
          <w:sz w:val="24"/>
          <w:szCs w:val="24"/>
          <w:lang w:val="kk-KZ"/>
        </w:rPr>
      </w:pPr>
      <w:r>
        <w:rPr>
          <w:rFonts w:eastAsia="Calibri"/>
          <w:sz w:val="24"/>
          <w:szCs w:val="24"/>
          <w:lang w:val="kk-KZ"/>
        </w:rPr>
        <w:t>2017 жылғы маусымда ақша базасы 6,5%-ға тарылып, 5 173,9 млрд. теңгені құрады. Тар ақша базасы, яғни екінші деңгейдегі банктердің Ұлттық Банктегі мерзімді депозиттерін есе</w:t>
      </w:r>
      <w:r w:rsidR="005929F4">
        <w:rPr>
          <w:rFonts w:eastAsia="Calibri"/>
          <w:sz w:val="24"/>
          <w:szCs w:val="24"/>
          <w:lang w:val="kk-KZ"/>
        </w:rPr>
        <w:t>пте</w:t>
      </w:r>
      <w:r>
        <w:rPr>
          <w:rFonts w:eastAsia="Calibri"/>
          <w:sz w:val="24"/>
          <w:szCs w:val="24"/>
          <w:lang w:val="kk-KZ"/>
        </w:rPr>
        <w:t xml:space="preserve">мегендегі ақша базасы 4 862,3 млрд. теңгеге  дейін 2,3%-ға тарылды. </w:t>
      </w:r>
    </w:p>
    <w:p w14:paraId="32C06544" w14:textId="77777777" w:rsidR="00E64B24" w:rsidRDefault="00E64B24" w:rsidP="00E64B24">
      <w:pPr>
        <w:autoSpaceDE w:val="0"/>
        <w:autoSpaceDN w:val="0"/>
        <w:adjustRightInd w:val="0"/>
        <w:spacing w:after="0" w:line="240" w:lineRule="auto"/>
        <w:ind w:firstLine="708"/>
        <w:contextualSpacing/>
        <w:jc w:val="both"/>
        <w:rPr>
          <w:rFonts w:eastAsia="Calibri"/>
          <w:sz w:val="24"/>
          <w:szCs w:val="24"/>
          <w:lang w:val="kk-KZ"/>
        </w:rPr>
      </w:pPr>
      <w:r>
        <w:rPr>
          <w:rFonts w:eastAsia="Calibri"/>
          <w:sz w:val="24"/>
          <w:szCs w:val="24"/>
          <w:lang w:val="kk-KZ"/>
        </w:rPr>
        <w:t>2017 жылғы маусымда ақша массасы 19 690,7 млрд. теңгеге дейін 1,2%-ға ұлғайды, айналыстағы қолма-қол ақша 1 830,7 млрд. теңгеге дейін 5,1%-ға ұлғайды.</w:t>
      </w:r>
    </w:p>
    <w:p w14:paraId="19F9B088" w14:textId="77777777" w:rsidR="00E64B24" w:rsidRDefault="00E64B24" w:rsidP="00E64B24">
      <w:pPr>
        <w:autoSpaceDE w:val="0"/>
        <w:autoSpaceDN w:val="0"/>
        <w:adjustRightInd w:val="0"/>
        <w:spacing w:after="0" w:line="240" w:lineRule="auto"/>
        <w:ind w:firstLine="708"/>
        <w:contextualSpacing/>
        <w:jc w:val="both"/>
        <w:rPr>
          <w:rFonts w:ascii="Times New Roman" w:hAnsi="Times New Roman"/>
          <w:sz w:val="24"/>
          <w:szCs w:val="20"/>
          <w:lang w:val="kk-KZ" w:eastAsia="ru-RU"/>
        </w:rPr>
      </w:pPr>
    </w:p>
    <w:p w14:paraId="1AF6082E" w14:textId="36196F1E" w:rsidR="00E64B24" w:rsidRDefault="00E64B24" w:rsidP="00E64B24">
      <w:pPr>
        <w:pStyle w:val="ac"/>
        <w:keepNext/>
        <w:numPr>
          <w:ilvl w:val="0"/>
          <w:numId w:val="8"/>
        </w:numPr>
        <w:tabs>
          <w:tab w:val="left" w:pos="1134"/>
        </w:tabs>
        <w:spacing w:after="0" w:line="240" w:lineRule="auto"/>
        <w:jc w:val="both"/>
        <w:rPr>
          <w:b/>
          <w:sz w:val="24"/>
          <w:szCs w:val="24"/>
          <w:lang w:val="kk-KZ"/>
        </w:rPr>
      </w:pPr>
      <w:r>
        <w:rPr>
          <w:b/>
          <w:sz w:val="24"/>
          <w:szCs w:val="24"/>
          <w:lang w:val="kk-KZ"/>
        </w:rPr>
        <w:t xml:space="preserve">Ұлттық Банктің ақша-кредит саясаты саласындағы операциялары </w:t>
      </w:r>
    </w:p>
    <w:p w14:paraId="6BA49E15" w14:textId="77777777" w:rsidR="00E64B24" w:rsidRDefault="00E64B24" w:rsidP="00E64B24">
      <w:pPr>
        <w:spacing w:after="0" w:line="240" w:lineRule="auto"/>
        <w:ind w:firstLine="708"/>
        <w:jc w:val="both"/>
        <w:rPr>
          <w:rFonts w:eastAsia="Calibri"/>
          <w:sz w:val="24"/>
          <w:szCs w:val="24"/>
          <w:lang w:val="kk-KZ"/>
        </w:rPr>
      </w:pPr>
      <w:r>
        <w:rPr>
          <w:rFonts w:eastAsia="Calibri"/>
          <w:sz w:val="24"/>
          <w:szCs w:val="24"/>
          <w:lang w:val="kk-KZ"/>
        </w:rPr>
        <w:t>Ұлттық Банктің операциялары ақша-кредит саясатын жүргізу мақсаттарына және артық өтімділікпен сипатталған ақша нарығындағы ахуалға байланысты болды.</w:t>
      </w:r>
    </w:p>
    <w:p w14:paraId="25516F83" w14:textId="77777777" w:rsidR="00E64B24" w:rsidRDefault="00E64B24" w:rsidP="00E64B24">
      <w:pPr>
        <w:spacing w:after="0" w:line="240" w:lineRule="auto"/>
        <w:ind w:firstLine="708"/>
        <w:jc w:val="both"/>
        <w:rPr>
          <w:rFonts w:eastAsia="Calibri"/>
          <w:sz w:val="24"/>
          <w:szCs w:val="24"/>
          <w:lang w:val="kk-KZ"/>
        </w:rPr>
      </w:pPr>
      <w:r>
        <w:rPr>
          <w:rFonts w:eastAsia="Calibri"/>
          <w:sz w:val="24"/>
          <w:szCs w:val="24"/>
          <w:lang w:val="kk-KZ"/>
        </w:rPr>
        <w:t xml:space="preserve">6 маусымнан бастап </w:t>
      </w:r>
      <w:r>
        <w:rPr>
          <w:rFonts w:eastAsia="Calibri"/>
          <w:b/>
          <w:sz w:val="24"/>
          <w:szCs w:val="24"/>
          <w:lang w:val="kk-KZ"/>
        </w:rPr>
        <w:t>базалық мөлшерлеме</w:t>
      </w:r>
      <w:r>
        <w:rPr>
          <w:rFonts w:eastAsia="Calibri"/>
          <w:sz w:val="24"/>
          <w:szCs w:val="24"/>
          <w:lang w:val="kk-KZ"/>
        </w:rPr>
        <w:t xml:space="preserve"> симметриялық +/-1% дәлізі сақтала отырып, 11%-дан 10,5%-ға дейін төмендетілді (2-график).</w:t>
      </w:r>
    </w:p>
    <w:p w14:paraId="7A94C133" w14:textId="77777777" w:rsidR="00155C04" w:rsidRDefault="00155C04" w:rsidP="00E64B24">
      <w:pPr>
        <w:spacing w:after="0" w:line="240" w:lineRule="auto"/>
        <w:ind w:firstLine="708"/>
        <w:jc w:val="both"/>
        <w:rPr>
          <w:rFonts w:eastAsia="Calibri"/>
          <w:sz w:val="24"/>
          <w:szCs w:val="24"/>
          <w:lang w:val="kk-KZ"/>
        </w:rPr>
      </w:pPr>
    </w:p>
    <w:p w14:paraId="000D1D51" w14:textId="77777777" w:rsidR="00E64B24" w:rsidRDefault="00E64B24" w:rsidP="00E64B24">
      <w:pPr>
        <w:spacing w:after="0" w:line="240" w:lineRule="auto"/>
        <w:ind w:firstLine="708"/>
        <w:jc w:val="both"/>
        <w:rPr>
          <w:rFonts w:eastAsia="Calibri"/>
          <w:sz w:val="24"/>
          <w:szCs w:val="24"/>
          <w:lang w:val="kk-KZ"/>
        </w:rPr>
      </w:pPr>
      <w:r>
        <w:rPr>
          <w:rFonts w:eastAsia="Calibri"/>
          <w:sz w:val="24"/>
          <w:szCs w:val="24"/>
          <w:lang w:val="kk-KZ"/>
        </w:rPr>
        <w:t xml:space="preserve">2-график </w:t>
      </w:r>
    </w:p>
    <w:p w14:paraId="122A5C02" w14:textId="77777777" w:rsidR="00E64B24" w:rsidRDefault="00E64B24" w:rsidP="00E64B24">
      <w:pPr>
        <w:spacing w:after="0" w:line="240" w:lineRule="auto"/>
        <w:ind w:firstLine="708"/>
        <w:jc w:val="both"/>
        <w:rPr>
          <w:rFonts w:eastAsia="Calibri"/>
          <w:b/>
          <w:sz w:val="24"/>
          <w:szCs w:val="24"/>
          <w:lang w:val="kk-KZ"/>
        </w:rPr>
      </w:pPr>
      <w:r>
        <w:rPr>
          <w:rFonts w:eastAsia="Calibri"/>
          <w:b/>
          <w:sz w:val="24"/>
          <w:szCs w:val="24"/>
          <w:lang w:val="kk-KZ"/>
        </w:rPr>
        <w:t>Базалық мөлшерлеменің және оның пайыздық дәлізінің серпіні</w:t>
      </w:r>
    </w:p>
    <w:p w14:paraId="7E187950" w14:textId="4CCE8750" w:rsidR="00E64B24" w:rsidRDefault="00E64B24" w:rsidP="00E64B24">
      <w:pPr>
        <w:spacing w:after="0" w:line="240" w:lineRule="auto"/>
        <w:jc w:val="both"/>
        <w:rPr>
          <w:rFonts w:eastAsia="Calibri"/>
          <w:sz w:val="24"/>
          <w:szCs w:val="24"/>
          <w:lang w:val="kk-KZ"/>
        </w:rPr>
      </w:pPr>
      <w:r>
        <w:rPr>
          <w:noProof/>
          <w:lang w:eastAsia="ru-RU"/>
        </w:rPr>
        <w:drawing>
          <wp:inline distT="0" distB="0" distL="0" distR="0" wp14:anchorId="568DA593" wp14:editId="1DC294AE">
            <wp:extent cx="5562600" cy="2800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C4B90A" w14:textId="77777777" w:rsidR="00155C04" w:rsidRDefault="00155C04" w:rsidP="00E64B24">
      <w:pPr>
        <w:spacing w:after="0" w:line="240" w:lineRule="auto"/>
        <w:jc w:val="both"/>
        <w:rPr>
          <w:rFonts w:eastAsia="Calibri"/>
          <w:sz w:val="24"/>
          <w:szCs w:val="24"/>
          <w:lang w:val="kk-KZ"/>
        </w:rPr>
      </w:pPr>
    </w:p>
    <w:p w14:paraId="0BF2EF97" w14:textId="77777777" w:rsidR="00E64B24" w:rsidRDefault="00E64B24" w:rsidP="00E64B24">
      <w:pPr>
        <w:spacing w:after="0" w:line="240" w:lineRule="auto"/>
        <w:jc w:val="both"/>
        <w:rPr>
          <w:rFonts w:eastAsia="Calibri"/>
          <w:sz w:val="24"/>
          <w:szCs w:val="24"/>
          <w:lang w:val="kk-KZ"/>
        </w:rPr>
      </w:pPr>
    </w:p>
    <w:p w14:paraId="01DE28FC" w14:textId="77777777" w:rsidR="00E64B24" w:rsidRDefault="00E64B24" w:rsidP="00E64B24">
      <w:pPr>
        <w:spacing w:after="0" w:line="240" w:lineRule="auto"/>
        <w:ind w:firstLine="708"/>
        <w:jc w:val="both"/>
        <w:rPr>
          <w:rFonts w:eastAsia="Calibri"/>
          <w:sz w:val="24"/>
          <w:szCs w:val="24"/>
          <w:lang w:val="kk-KZ"/>
        </w:rPr>
      </w:pPr>
      <w:r>
        <w:rPr>
          <w:rFonts w:eastAsia="Calibri"/>
          <w:b/>
          <w:i/>
          <w:sz w:val="24"/>
          <w:szCs w:val="24"/>
          <w:lang w:val="kk-KZ"/>
        </w:rPr>
        <w:t xml:space="preserve">Қазақстан Ұлттық Банкінің қысқа мерзімді ноттары. </w:t>
      </w:r>
      <w:r>
        <w:rPr>
          <w:rFonts w:eastAsia="Calibri"/>
          <w:sz w:val="24"/>
          <w:szCs w:val="24"/>
          <w:lang w:val="kk-KZ"/>
        </w:rPr>
        <w:t>Қысқа мерзімді ноттар эмиссиясының көлемі 2017 жылғы маусымда 5 467,9 млрд. теңгені құрады. 29 аукцион өткізілді, оның ішінде 22 аукцион 4 967,5 млрд. теңге сомаға 7 күндік ноттарды орналастыру бойынша, 4 аукцион 358,2 млрд. теңге сомаға 1 айлық ноттарды орналастыру бойынша, 1 аукцион 60,0 млрд. теңге сомаға 3 айлық ноттарды орналастыру бойынша, 1 аукцион 32,2 млрд. теңге сомаға 6 айлық ноттарды орналастыру бойынша және 1 аукцион 50,0 млрд. теңге сомаға 1 жылдық ноттарды орналастыру бойынша өткізілді.</w:t>
      </w:r>
    </w:p>
    <w:p w14:paraId="42D6F6B5" w14:textId="77777777" w:rsidR="00E64B24" w:rsidRDefault="00E64B24" w:rsidP="00E64B24">
      <w:pPr>
        <w:spacing w:after="0" w:line="240" w:lineRule="auto"/>
        <w:ind w:firstLine="708"/>
        <w:jc w:val="both"/>
        <w:rPr>
          <w:rFonts w:eastAsia="Calibri"/>
          <w:sz w:val="24"/>
          <w:szCs w:val="24"/>
          <w:lang w:val="kk-KZ"/>
        </w:rPr>
      </w:pPr>
      <w:r>
        <w:rPr>
          <w:rFonts w:eastAsia="Calibri"/>
          <w:sz w:val="24"/>
          <w:szCs w:val="24"/>
          <w:lang w:val="kk-KZ"/>
        </w:rPr>
        <w:lastRenderedPageBreak/>
        <w:t>Орташа алынған кірістілік орналастырылған 7 күндік ноттар бойынша 9,89%-ды, 1 айлық ноттар бойынша 9,74%-ды, 3 айлық ноттар бойынша 9,31%-ды, 6 айлық ноттар бойынша 9,29%-ды, 1 жылдық ноттар бойынша 8,91%-ды құрады.</w:t>
      </w:r>
    </w:p>
    <w:p w14:paraId="4BC34935" w14:textId="77777777" w:rsidR="00E64B24" w:rsidRDefault="00E64B24" w:rsidP="00E64B24">
      <w:pPr>
        <w:spacing w:after="0" w:line="240" w:lineRule="auto"/>
        <w:ind w:firstLine="708"/>
        <w:jc w:val="both"/>
        <w:rPr>
          <w:rFonts w:eastAsia="Calibri"/>
          <w:sz w:val="24"/>
          <w:szCs w:val="24"/>
          <w:lang w:val="kk-KZ"/>
        </w:rPr>
      </w:pPr>
      <w:r>
        <w:rPr>
          <w:rFonts w:eastAsia="Calibri"/>
          <w:sz w:val="24"/>
          <w:szCs w:val="24"/>
          <w:lang w:val="kk-KZ"/>
        </w:rPr>
        <w:t>Айналыстағы ноттардың көлемі 2017 жылғы маусымның соңында 2 914,2 млрд. теңгені құрады.</w:t>
      </w:r>
    </w:p>
    <w:p w14:paraId="1DDC63BA" w14:textId="6441A84E" w:rsidR="00E64B24" w:rsidRDefault="00E64B24" w:rsidP="00E64B24">
      <w:pPr>
        <w:spacing w:after="0" w:line="240" w:lineRule="auto"/>
        <w:ind w:firstLine="708"/>
        <w:jc w:val="both"/>
        <w:rPr>
          <w:rFonts w:cs="Calibri"/>
          <w:sz w:val="24"/>
          <w:szCs w:val="24"/>
          <w:lang w:val="kk-KZ"/>
        </w:rPr>
      </w:pPr>
      <w:r>
        <w:rPr>
          <w:rFonts w:eastAsia="Calibri"/>
          <w:sz w:val="24"/>
          <w:szCs w:val="24"/>
          <w:lang w:val="kk-KZ"/>
        </w:rPr>
        <w:t>2017 жылғы маусымның қорытындысы бойынша Ұлттық Банктің қысқа мерзімді ноттары бойынша кірістіліктің төмендеуі салдарынан бүкіл кірістілік қисығы</w:t>
      </w:r>
      <w:r w:rsidR="006E5EE9">
        <w:rPr>
          <w:rFonts w:eastAsia="Calibri"/>
          <w:sz w:val="24"/>
          <w:szCs w:val="24"/>
          <w:lang w:val="kk-KZ"/>
        </w:rPr>
        <w:t>ның қысқа мерзімді секторы</w:t>
      </w:r>
      <w:r>
        <w:rPr>
          <w:rFonts w:eastAsia="Calibri"/>
          <w:sz w:val="24"/>
          <w:szCs w:val="24"/>
          <w:lang w:val="kk-KZ"/>
        </w:rPr>
        <w:t xml:space="preserve"> бойынша кірістіліктердің төмендеуі байқалып отыр</w:t>
      </w:r>
      <w:r>
        <w:rPr>
          <w:rFonts w:cs="Calibri"/>
          <w:sz w:val="24"/>
          <w:szCs w:val="24"/>
          <w:lang w:val="kk-KZ"/>
        </w:rPr>
        <w:t xml:space="preserve"> (3-график). </w:t>
      </w:r>
    </w:p>
    <w:p w14:paraId="2AEA9882" w14:textId="77777777" w:rsidR="00E64B24" w:rsidRDefault="00E64B24" w:rsidP="00E64B24">
      <w:pPr>
        <w:spacing w:after="0" w:line="240" w:lineRule="auto"/>
        <w:ind w:firstLine="708"/>
        <w:jc w:val="both"/>
        <w:rPr>
          <w:rFonts w:eastAsia="Calibri"/>
          <w:sz w:val="24"/>
          <w:szCs w:val="24"/>
          <w:lang w:val="kk-KZ"/>
        </w:rPr>
      </w:pPr>
    </w:p>
    <w:p w14:paraId="10FB83AF" w14:textId="1BF79C41" w:rsidR="00155C04" w:rsidRDefault="00E64B24" w:rsidP="00155C04">
      <w:pPr>
        <w:spacing w:after="0" w:line="240" w:lineRule="auto"/>
        <w:ind w:firstLine="708"/>
        <w:jc w:val="both"/>
        <w:rPr>
          <w:rFonts w:eastAsia="Calibri"/>
          <w:sz w:val="24"/>
          <w:szCs w:val="24"/>
          <w:lang w:val="kk-KZ"/>
        </w:rPr>
      </w:pPr>
      <w:r>
        <w:rPr>
          <w:rFonts w:eastAsia="Calibri"/>
          <w:sz w:val="24"/>
          <w:szCs w:val="24"/>
          <w:lang w:val="kk-KZ"/>
        </w:rPr>
        <w:t xml:space="preserve">3-график </w:t>
      </w:r>
    </w:p>
    <w:p w14:paraId="0DEFA132" w14:textId="77777777" w:rsidR="00E64B24" w:rsidRDefault="00E64B24" w:rsidP="00E64B24">
      <w:pPr>
        <w:spacing w:after="0" w:line="240" w:lineRule="auto"/>
        <w:ind w:firstLine="708"/>
        <w:jc w:val="both"/>
        <w:rPr>
          <w:rFonts w:eastAsia="Calibri"/>
          <w:sz w:val="24"/>
          <w:szCs w:val="24"/>
          <w:lang w:val="kk-KZ"/>
        </w:rPr>
      </w:pPr>
      <w:r>
        <w:rPr>
          <w:rFonts w:eastAsia="Calibri"/>
          <w:b/>
          <w:bCs/>
          <w:sz w:val="24"/>
          <w:szCs w:val="24"/>
          <w:lang w:val="kk-KZ"/>
        </w:rPr>
        <w:t xml:space="preserve">Кірістіліктің тәуекелсіз қисығының өзгеруі </w:t>
      </w:r>
    </w:p>
    <w:p w14:paraId="3D07C4F8" w14:textId="0A86462C" w:rsidR="00E64B24" w:rsidRDefault="00E64B24" w:rsidP="00E64B24">
      <w:pPr>
        <w:autoSpaceDE w:val="0"/>
        <w:autoSpaceDN w:val="0"/>
        <w:adjustRightInd w:val="0"/>
        <w:spacing w:after="0" w:line="240" w:lineRule="auto"/>
        <w:jc w:val="center"/>
        <w:rPr>
          <w:b/>
          <w:sz w:val="24"/>
          <w:szCs w:val="24"/>
          <w:lang w:val="kk-KZ" w:eastAsia="ru-RU"/>
        </w:rPr>
      </w:pPr>
      <w:r>
        <w:rPr>
          <w:noProof/>
          <w:lang w:eastAsia="ru-RU"/>
        </w:rPr>
        <w:drawing>
          <wp:inline distT="0" distB="0" distL="0" distR="0" wp14:anchorId="1315DC36" wp14:editId="2D02FAD8">
            <wp:extent cx="5534025" cy="21240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1C34B5" w14:textId="77777777" w:rsidR="00E64B24" w:rsidRDefault="00E64B24" w:rsidP="00E64B24">
      <w:pPr>
        <w:tabs>
          <w:tab w:val="left" w:pos="5760"/>
        </w:tabs>
        <w:spacing w:after="0" w:line="240" w:lineRule="auto"/>
        <w:ind w:firstLine="720"/>
        <w:jc w:val="both"/>
        <w:rPr>
          <w:rFonts w:eastAsia="Calibri"/>
          <w:b/>
          <w:i/>
          <w:sz w:val="24"/>
          <w:szCs w:val="24"/>
          <w:lang w:val="kk-KZ"/>
        </w:rPr>
      </w:pPr>
    </w:p>
    <w:p w14:paraId="569A5EF3" w14:textId="77777777" w:rsidR="00155C04" w:rsidRDefault="00155C04" w:rsidP="00E64B24">
      <w:pPr>
        <w:tabs>
          <w:tab w:val="left" w:pos="5760"/>
        </w:tabs>
        <w:spacing w:after="0" w:line="240" w:lineRule="auto"/>
        <w:ind w:firstLine="720"/>
        <w:jc w:val="both"/>
        <w:rPr>
          <w:rFonts w:eastAsia="Calibri"/>
          <w:b/>
          <w:i/>
          <w:sz w:val="24"/>
          <w:szCs w:val="24"/>
          <w:lang w:val="kk-KZ"/>
        </w:rPr>
      </w:pPr>
    </w:p>
    <w:p w14:paraId="4B1F030F" w14:textId="670EC427" w:rsidR="00E64B24" w:rsidRDefault="00E64B24" w:rsidP="00E64B24">
      <w:pPr>
        <w:tabs>
          <w:tab w:val="left" w:pos="5760"/>
        </w:tabs>
        <w:spacing w:after="0" w:line="240" w:lineRule="auto"/>
        <w:ind w:firstLine="720"/>
        <w:jc w:val="both"/>
        <w:rPr>
          <w:rFonts w:eastAsia="Calibri"/>
          <w:sz w:val="24"/>
          <w:szCs w:val="24"/>
          <w:lang w:val="kk-KZ"/>
        </w:rPr>
      </w:pPr>
      <w:r>
        <w:rPr>
          <w:rFonts w:eastAsia="Calibri"/>
          <w:b/>
          <w:i/>
          <w:sz w:val="24"/>
          <w:szCs w:val="24"/>
          <w:lang w:val="kk-KZ"/>
        </w:rPr>
        <w:t xml:space="preserve">Тұрақты  қолжетімді  ақша-кредит саясатының құралдары. </w:t>
      </w:r>
      <w:r w:rsidR="00496F3F" w:rsidRPr="00496F3F">
        <w:rPr>
          <w:rFonts w:eastAsia="Calibri"/>
          <w:sz w:val="24"/>
          <w:szCs w:val="24"/>
          <w:lang w:val="kk-KZ"/>
        </w:rPr>
        <w:t xml:space="preserve">Маусымда Ұлттық Банк артық өтімділікті алу бойынша операцияларын жалғастырды. 30 маусымдағы жағдай бойынша Ұлттық Банктің операцияларының сальдосы (Ұлттық Банктің ашық позициясы) 2,4 трлн. теңгені құрады.  Артық өтімділіктің негізгі бөлігі қысқа мерзімді ноттарды орналастыру арқылы алынуда. Маусымда айналыстағы ноттардың көлемі 7,2%-ға өсіп 2,9 трлн. теңгені құрады. Ұлттық Банктің тікелей РЕПО операциялары бойынша ашық позициясы – 60,7 млрд. теңге, кері РЕПО операциялары бойынша – 291,8 млрд. теңге, Ұлттық Банктегі банктердің депозиттері бойынша 271,3 млрд. теңгені құрады.  </w:t>
      </w:r>
    </w:p>
    <w:p w14:paraId="7FC5214D" w14:textId="48E0454D" w:rsidR="00E64B24" w:rsidRDefault="00E64B24" w:rsidP="00E64B24">
      <w:pPr>
        <w:tabs>
          <w:tab w:val="left" w:pos="5760"/>
        </w:tabs>
        <w:spacing w:after="0" w:line="240" w:lineRule="auto"/>
        <w:ind w:firstLine="720"/>
        <w:jc w:val="both"/>
        <w:rPr>
          <w:rFonts w:eastAsia="Calibri"/>
          <w:sz w:val="24"/>
          <w:szCs w:val="24"/>
          <w:lang w:val="kk-KZ"/>
        </w:rPr>
      </w:pPr>
      <w:r>
        <w:rPr>
          <w:rFonts w:eastAsia="Calibri"/>
          <w:sz w:val="24"/>
          <w:szCs w:val="24"/>
          <w:lang w:val="kk-KZ"/>
        </w:rPr>
        <w:t>Ақша нарығындағы ақша-кредит саясатының операцияларын  жүргізу  кезінде таргеттелетін (нысаналы) мөлшерлеме болып табылатын TONIA индикаторын</w:t>
      </w:r>
      <w:r>
        <w:rPr>
          <w:rFonts w:eastAsia="Calibri"/>
          <w:sz w:val="24"/>
          <w:szCs w:val="24"/>
          <w:vertAlign w:val="superscript"/>
          <w:lang w:val="kk-KZ"/>
        </w:rPr>
        <w:footnoteReference w:id="1"/>
      </w:r>
      <w:r>
        <w:rPr>
          <w:rFonts w:eastAsia="Calibri"/>
          <w:sz w:val="24"/>
          <w:szCs w:val="24"/>
          <w:lang w:val="kk-KZ"/>
        </w:rPr>
        <w:t xml:space="preserve">  қалыптастыру негізінен  базалық  мөлшерлеменің  пайыздық  дәлізінің төменгі  шегіне жақын болды (4-график). 2017 жылғы маусымда осы индикатордың орташа алынған мәні жылдық 9,60% деңгейінде (2017 жылғы ма</w:t>
      </w:r>
      <w:r w:rsidR="00F67F89">
        <w:rPr>
          <w:rFonts w:eastAsia="Calibri"/>
          <w:sz w:val="24"/>
          <w:szCs w:val="24"/>
          <w:lang w:val="kk-KZ"/>
        </w:rPr>
        <w:t>мыр</w:t>
      </w:r>
      <w:r>
        <w:rPr>
          <w:rFonts w:eastAsia="Calibri"/>
          <w:sz w:val="24"/>
          <w:szCs w:val="24"/>
          <w:lang w:val="kk-KZ"/>
        </w:rPr>
        <w:t xml:space="preserve">да – 10,07%) қалыптасты. </w:t>
      </w:r>
    </w:p>
    <w:p w14:paraId="489B726B" w14:textId="77777777" w:rsidR="00E64B24" w:rsidRDefault="00E64B24" w:rsidP="00E64B24">
      <w:pPr>
        <w:spacing w:after="0" w:line="240" w:lineRule="auto"/>
        <w:ind w:firstLine="708"/>
        <w:jc w:val="both"/>
        <w:rPr>
          <w:rFonts w:eastAsia="Calibri"/>
          <w:sz w:val="24"/>
          <w:szCs w:val="24"/>
          <w:lang w:val="kk-KZ"/>
        </w:rPr>
      </w:pPr>
    </w:p>
    <w:p w14:paraId="7B130E71" w14:textId="77777777" w:rsidR="00F05BDF" w:rsidRDefault="00F05BDF" w:rsidP="00E64B24">
      <w:pPr>
        <w:spacing w:after="0" w:line="240" w:lineRule="auto"/>
        <w:ind w:firstLine="708"/>
        <w:jc w:val="both"/>
        <w:rPr>
          <w:rFonts w:eastAsia="Calibri"/>
          <w:sz w:val="24"/>
          <w:szCs w:val="24"/>
          <w:lang w:val="kk-KZ"/>
        </w:rPr>
      </w:pPr>
    </w:p>
    <w:p w14:paraId="251DEE07" w14:textId="77777777" w:rsidR="00F05BDF" w:rsidRDefault="00F05BDF" w:rsidP="00E64B24">
      <w:pPr>
        <w:spacing w:after="0" w:line="240" w:lineRule="auto"/>
        <w:ind w:firstLine="708"/>
        <w:jc w:val="both"/>
        <w:rPr>
          <w:rFonts w:eastAsia="Calibri"/>
          <w:sz w:val="24"/>
          <w:szCs w:val="24"/>
          <w:lang w:val="kk-KZ"/>
        </w:rPr>
      </w:pPr>
    </w:p>
    <w:p w14:paraId="08414874" w14:textId="77777777" w:rsidR="00F05BDF" w:rsidRDefault="00F05BDF" w:rsidP="00E64B24">
      <w:pPr>
        <w:spacing w:after="0" w:line="240" w:lineRule="auto"/>
        <w:ind w:firstLine="708"/>
        <w:jc w:val="both"/>
        <w:rPr>
          <w:rFonts w:eastAsia="Calibri"/>
          <w:sz w:val="24"/>
          <w:szCs w:val="24"/>
          <w:lang w:val="kk-KZ"/>
        </w:rPr>
      </w:pPr>
    </w:p>
    <w:p w14:paraId="7410EE9D" w14:textId="77777777" w:rsidR="00F05BDF" w:rsidRDefault="00F05BDF" w:rsidP="00155C04">
      <w:pPr>
        <w:spacing w:after="0" w:line="240" w:lineRule="auto"/>
        <w:jc w:val="both"/>
        <w:rPr>
          <w:rFonts w:eastAsia="Calibri"/>
          <w:sz w:val="24"/>
          <w:szCs w:val="24"/>
          <w:lang w:val="kk-KZ"/>
        </w:rPr>
      </w:pPr>
    </w:p>
    <w:p w14:paraId="7B398204" w14:textId="77777777" w:rsidR="00155C04" w:rsidRDefault="00155C04" w:rsidP="00155C04">
      <w:pPr>
        <w:spacing w:after="0" w:line="240" w:lineRule="auto"/>
        <w:jc w:val="both"/>
        <w:rPr>
          <w:rFonts w:eastAsia="Calibri"/>
          <w:sz w:val="24"/>
          <w:szCs w:val="24"/>
          <w:lang w:val="kk-KZ"/>
        </w:rPr>
      </w:pPr>
    </w:p>
    <w:p w14:paraId="683DC950" w14:textId="77777777" w:rsidR="00155C04" w:rsidRDefault="00155C04" w:rsidP="00155C04">
      <w:pPr>
        <w:spacing w:after="0" w:line="240" w:lineRule="auto"/>
        <w:jc w:val="both"/>
        <w:rPr>
          <w:rFonts w:eastAsia="Calibri"/>
          <w:sz w:val="24"/>
          <w:szCs w:val="24"/>
          <w:lang w:val="kk-KZ"/>
        </w:rPr>
      </w:pPr>
    </w:p>
    <w:p w14:paraId="2560F7A0" w14:textId="77777777" w:rsidR="00155C04" w:rsidRDefault="00155C04" w:rsidP="00155C04">
      <w:pPr>
        <w:spacing w:after="0" w:line="240" w:lineRule="auto"/>
        <w:jc w:val="both"/>
        <w:rPr>
          <w:rFonts w:eastAsia="Calibri"/>
          <w:sz w:val="24"/>
          <w:szCs w:val="24"/>
          <w:lang w:val="kk-KZ"/>
        </w:rPr>
      </w:pPr>
    </w:p>
    <w:p w14:paraId="05322EA0" w14:textId="77777777" w:rsidR="00155C04" w:rsidRDefault="00155C04" w:rsidP="00155C04">
      <w:pPr>
        <w:spacing w:after="0" w:line="240" w:lineRule="auto"/>
        <w:jc w:val="both"/>
        <w:rPr>
          <w:rFonts w:eastAsia="Calibri"/>
          <w:sz w:val="24"/>
          <w:szCs w:val="24"/>
          <w:lang w:val="kk-KZ"/>
        </w:rPr>
      </w:pPr>
    </w:p>
    <w:p w14:paraId="0E815ED9" w14:textId="77777777" w:rsidR="00E64B24" w:rsidRDefault="00E64B24" w:rsidP="00E64B24">
      <w:pPr>
        <w:spacing w:after="0" w:line="240" w:lineRule="auto"/>
        <w:ind w:firstLine="708"/>
        <w:jc w:val="both"/>
        <w:rPr>
          <w:rFonts w:eastAsia="Calibri"/>
          <w:sz w:val="24"/>
          <w:szCs w:val="24"/>
          <w:lang w:val="kk-KZ"/>
        </w:rPr>
      </w:pPr>
      <w:r>
        <w:rPr>
          <w:rFonts w:eastAsia="Calibri"/>
          <w:sz w:val="24"/>
          <w:szCs w:val="24"/>
          <w:lang w:val="kk-KZ"/>
        </w:rPr>
        <w:lastRenderedPageBreak/>
        <w:t xml:space="preserve">4-график </w:t>
      </w:r>
    </w:p>
    <w:p w14:paraId="1420547F" w14:textId="77777777" w:rsidR="00E64B24" w:rsidRDefault="00E64B24" w:rsidP="00E64B24">
      <w:pPr>
        <w:spacing w:after="0" w:line="240" w:lineRule="auto"/>
        <w:ind w:firstLine="708"/>
        <w:jc w:val="both"/>
        <w:rPr>
          <w:rFonts w:eastAsia="Calibri"/>
          <w:sz w:val="24"/>
          <w:szCs w:val="24"/>
          <w:lang w:val="kk-KZ"/>
        </w:rPr>
      </w:pPr>
      <w:r>
        <w:rPr>
          <w:rFonts w:eastAsia="Calibri"/>
          <w:b/>
          <w:bCs/>
          <w:sz w:val="24"/>
          <w:szCs w:val="24"/>
          <w:lang w:val="kk-KZ"/>
        </w:rPr>
        <w:t>Таргеттелетін индикатордың серпіні, %</w:t>
      </w:r>
    </w:p>
    <w:p w14:paraId="37563F50" w14:textId="13B2BC37" w:rsidR="00E64B24" w:rsidRDefault="00E64B24" w:rsidP="00E64B24">
      <w:pPr>
        <w:tabs>
          <w:tab w:val="left" w:pos="5760"/>
        </w:tabs>
        <w:spacing w:after="0" w:line="240" w:lineRule="auto"/>
        <w:ind w:right="282"/>
        <w:jc w:val="both"/>
        <w:rPr>
          <w:rFonts w:eastAsia="Calibri"/>
          <w:sz w:val="24"/>
          <w:szCs w:val="24"/>
          <w:lang w:val="kk-KZ"/>
        </w:rPr>
      </w:pPr>
      <w:r>
        <w:rPr>
          <w:noProof/>
          <w:lang w:eastAsia="ru-RU"/>
        </w:rPr>
        <w:drawing>
          <wp:inline distT="0" distB="0" distL="0" distR="0" wp14:anchorId="48ADB4FF" wp14:editId="393DD21F">
            <wp:extent cx="5762625" cy="2524125"/>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C7BC3A" w14:textId="77777777" w:rsidR="00E64B24" w:rsidRDefault="00E64B24" w:rsidP="00E64B24">
      <w:pPr>
        <w:tabs>
          <w:tab w:val="left" w:pos="5760"/>
        </w:tabs>
        <w:spacing w:after="0" w:line="240" w:lineRule="auto"/>
        <w:ind w:firstLine="720"/>
        <w:jc w:val="both"/>
        <w:rPr>
          <w:rFonts w:eastAsia="Calibri"/>
          <w:sz w:val="24"/>
          <w:szCs w:val="24"/>
          <w:lang w:val="kk-KZ"/>
        </w:rPr>
      </w:pPr>
    </w:p>
    <w:p w14:paraId="438CC095" w14:textId="77777777" w:rsidR="00E64B24" w:rsidRDefault="00E64B24" w:rsidP="00E64B24">
      <w:pPr>
        <w:pStyle w:val="ac"/>
        <w:keepNext/>
        <w:numPr>
          <w:ilvl w:val="0"/>
          <w:numId w:val="8"/>
        </w:numPr>
        <w:tabs>
          <w:tab w:val="left" w:pos="1134"/>
        </w:tabs>
        <w:spacing w:after="0" w:line="240" w:lineRule="auto"/>
        <w:ind w:left="0" w:firstLine="709"/>
        <w:jc w:val="both"/>
        <w:rPr>
          <w:b/>
          <w:sz w:val="24"/>
          <w:szCs w:val="24"/>
          <w:lang w:val="kk-KZ"/>
        </w:rPr>
      </w:pPr>
      <w:r>
        <w:rPr>
          <w:rFonts w:asciiTheme="minorHAnsi" w:eastAsia="Calibri" w:hAnsiTheme="minorHAnsi"/>
          <w:b/>
          <w:color w:val="000000"/>
          <w:sz w:val="24"/>
          <w:szCs w:val="24"/>
          <w:lang w:val="kk-KZ"/>
        </w:rPr>
        <w:t>2017 жылғы маусымдағы валюта нарығы</w:t>
      </w:r>
      <w:r>
        <w:rPr>
          <w:b/>
          <w:sz w:val="24"/>
          <w:szCs w:val="24"/>
          <w:lang w:val="kk-KZ"/>
        </w:rPr>
        <w:t xml:space="preserve"> </w:t>
      </w:r>
    </w:p>
    <w:p w14:paraId="09C4E0DD" w14:textId="77777777" w:rsidR="00E64B24" w:rsidRDefault="00E64B24" w:rsidP="00E64B24">
      <w:pPr>
        <w:autoSpaceDE w:val="0"/>
        <w:autoSpaceDN w:val="0"/>
        <w:adjustRightInd w:val="0"/>
        <w:spacing w:after="0" w:line="240" w:lineRule="auto"/>
        <w:ind w:firstLine="709"/>
        <w:jc w:val="both"/>
        <w:rPr>
          <w:rFonts w:asciiTheme="minorHAnsi" w:eastAsiaTheme="minorHAnsi" w:hAnsiTheme="minorHAnsi" w:cs="Arial"/>
          <w:sz w:val="24"/>
          <w:szCs w:val="24"/>
          <w:lang w:val="kk-KZ"/>
        </w:rPr>
      </w:pPr>
      <w:r>
        <w:rPr>
          <w:rFonts w:asciiTheme="minorHAnsi" w:hAnsiTheme="minorHAnsi"/>
          <w:color w:val="000000"/>
          <w:sz w:val="24"/>
          <w:szCs w:val="24"/>
          <w:lang w:val="kk-KZ" w:eastAsia="ru-RU"/>
        </w:rPr>
        <w:t xml:space="preserve">2017 жылғы маусымда теңгенің айырбастау бағамы бір АҚШ доллары үшін </w:t>
      </w:r>
      <w:r>
        <w:rPr>
          <w:rFonts w:asciiTheme="minorHAnsi" w:eastAsiaTheme="minorHAnsi" w:hAnsiTheme="minorHAnsi" w:cs="Arial"/>
          <w:sz w:val="24"/>
          <w:szCs w:val="24"/>
          <w:lang w:val="kk-KZ"/>
        </w:rPr>
        <w:t xml:space="preserve">312,35-327,63 </w:t>
      </w:r>
      <w:r>
        <w:rPr>
          <w:rFonts w:asciiTheme="minorHAnsi" w:hAnsiTheme="minorHAnsi"/>
          <w:color w:val="000000"/>
          <w:sz w:val="24"/>
          <w:szCs w:val="24"/>
          <w:lang w:val="kk-KZ" w:eastAsia="ru-RU"/>
        </w:rPr>
        <w:t>теңге аралығында өзгерді</w:t>
      </w:r>
      <w:r>
        <w:rPr>
          <w:rFonts w:asciiTheme="minorHAnsi" w:hAnsiTheme="minorHAnsi"/>
          <w:sz w:val="24"/>
          <w:szCs w:val="24"/>
          <w:lang w:val="kk-KZ" w:eastAsia="ru-RU"/>
        </w:rPr>
        <w:t xml:space="preserve">. 2017 жылғы маусымның соңында теңгенің АҚШ долларына қатысты биржалық бағамы бір айда </w:t>
      </w:r>
      <w:r>
        <w:rPr>
          <w:rFonts w:asciiTheme="minorHAnsi" w:eastAsiaTheme="minorHAnsi" w:hAnsiTheme="minorHAnsi" w:cs="Arial"/>
          <w:sz w:val="24"/>
          <w:szCs w:val="24"/>
          <w:lang w:val="kk-KZ"/>
        </w:rPr>
        <w:t>3,2</w:t>
      </w:r>
      <w:r>
        <w:rPr>
          <w:rFonts w:asciiTheme="minorHAnsi" w:eastAsia="Calibri" w:hAnsiTheme="minorHAnsi"/>
          <w:color w:val="000000"/>
          <w:sz w:val="24"/>
          <w:szCs w:val="24"/>
          <w:lang w:val="kk-KZ"/>
        </w:rPr>
        <w:t xml:space="preserve">%-ға әлсіреп (жыл басынан 3,3%-ға нығайып), бір АҚШ доллары үшін </w:t>
      </w:r>
      <w:r>
        <w:rPr>
          <w:rFonts w:asciiTheme="minorHAnsi" w:eastAsiaTheme="minorHAnsi" w:hAnsiTheme="minorHAnsi" w:cs="Arial"/>
          <w:sz w:val="24"/>
          <w:szCs w:val="24"/>
          <w:lang w:val="kk-KZ"/>
        </w:rPr>
        <w:t xml:space="preserve">322,27 </w:t>
      </w:r>
      <w:r>
        <w:rPr>
          <w:rFonts w:asciiTheme="minorHAnsi" w:eastAsia="Calibri" w:hAnsiTheme="minorHAnsi"/>
          <w:color w:val="000000"/>
          <w:sz w:val="24"/>
          <w:szCs w:val="24"/>
          <w:lang w:val="kk-KZ"/>
        </w:rPr>
        <w:t>теңге болды</w:t>
      </w:r>
      <w:r>
        <w:rPr>
          <w:rFonts w:asciiTheme="minorHAnsi" w:eastAsiaTheme="minorHAnsi" w:hAnsiTheme="minorHAnsi" w:cs="Arial"/>
          <w:sz w:val="24"/>
          <w:szCs w:val="24"/>
          <w:lang w:val="kk-KZ"/>
        </w:rPr>
        <w:t>.</w:t>
      </w:r>
    </w:p>
    <w:p w14:paraId="60F32266" w14:textId="308A820B" w:rsidR="00E64B24" w:rsidRDefault="00E64B24" w:rsidP="00E64B24">
      <w:pPr>
        <w:autoSpaceDE w:val="0"/>
        <w:autoSpaceDN w:val="0"/>
        <w:adjustRightInd w:val="0"/>
        <w:spacing w:after="0" w:line="240" w:lineRule="auto"/>
        <w:ind w:firstLine="709"/>
        <w:jc w:val="both"/>
        <w:rPr>
          <w:rFonts w:asciiTheme="minorHAnsi" w:eastAsiaTheme="minorHAnsi" w:hAnsiTheme="minorHAnsi" w:cs="Arial"/>
          <w:sz w:val="24"/>
          <w:szCs w:val="24"/>
          <w:lang w:val="kk-KZ"/>
        </w:rPr>
      </w:pPr>
      <w:r>
        <w:rPr>
          <w:rFonts w:asciiTheme="minorHAnsi" w:eastAsia="Calibri" w:hAnsiTheme="minorHAnsi"/>
          <w:color w:val="000000"/>
          <w:sz w:val="24"/>
          <w:szCs w:val="24"/>
          <w:lang w:val="kk-KZ"/>
        </w:rPr>
        <w:t xml:space="preserve">2017 жылғы маусымда теңгенің ішкі валюта нарығындағы өсіп отырған құбылмалылығын шектеу үшін Ұлттық Банк </w:t>
      </w:r>
      <w:r>
        <w:rPr>
          <w:rFonts w:asciiTheme="minorHAnsi" w:eastAsiaTheme="minorHAnsi" w:hAnsiTheme="minorHAnsi" w:cs="Arial"/>
          <w:sz w:val="24"/>
          <w:szCs w:val="24"/>
          <w:lang w:val="kk-KZ"/>
        </w:rPr>
        <w:t>101 млн. АҚШ доллары мөлшеріндегі сатуды жүзеге асыра отырып</w:t>
      </w:r>
      <w:r w:rsidR="00F67F89">
        <w:rPr>
          <w:rFonts w:asciiTheme="minorHAnsi" w:eastAsiaTheme="minorHAnsi" w:hAnsiTheme="minorHAnsi" w:cs="Arial"/>
          <w:sz w:val="24"/>
          <w:szCs w:val="24"/>
          <w:lang w:val="kk-KZ"/>
        </w:rPr>
        <w:t>,</w:t>
      </w:r>
      <w:r>
        <w:rPr>
          <w:rFonts w:asciiTheme="minorHAnsi" w:eastAsiaTheme="minorHAnsi" w:hAnsiTheme="minorHAnsi" w:cs="Arial"/>
          <w:sz w:val="24"/>
          <w:szCs w:val="24"/>
          <w:lang w:val="kk-KZ"/>
        </w:rPr>
        <w:t xml:space="preserve"> АҚШ долларын</w:t>
      </w:r>
      <w:r w:rsidR="00F67F89">
        <w:rPr>
          <w:rFonts w:asciiTheme="minorHAnsi" w:eastAsiaTheme="minorHAnsi" w:hAnsiTheme="minorHAnsi" w:cs="Arial"/>
          <w:sz w:val="24"/>
          <w:szCs w:val="24"/>
          <w:lang w:val="kk-KZ"/>
        </w:rPr>
        <w:t>а</w:t>
      </w:r>
      <w:r>
        <w:rPr>
          <w:rFonts w:asciiTheme="minorHAnsi" w:eastAsiaTheme="minorHAnsi" w:hAnsiTheme="minorHAnsi" w:cs="Arial"/>
          <w:sz w:val="24"/>
          <w:szCs w:val="24"/>
          <w:lang w:val="kk-KZ"/>
        </w:rPr>
        <w:t xml:space="preserve"> артық сұранысты қанағаттандыру туралы шешім қабылады. Көрсетілген өтемдік көлемі </w:t>
      </w:r>
      <w:r>
        <w:rPr>
          <w:rFonts w:asciiTheme="minorHAnsi" w:eastAsia="Calibri" w:hAnsiTheme="minorHAnsi"/>
          <w:color w:val="000000"/>
          <w:sz w:val="24"/>
          <w:szCs w:val="24"/>
          <w:lang w:val="kk-KZ"/>
        </w:rPr>
        <w:t xml:space="preserve">2017 жылғы маусымдағы сауда-саттықтың жалпы көлемінің </w:t>
      </w:r>
      <w:r>
        <w:rPr>
          <w:rFonts w:asciiTheme="minorHAnsi" w:eastAsiaTheme="minorHAnsi" w:hAnsiTheme="minorHAnsi" w:cs="Arial"/>
          <w:sz w:val="24"/>
          <w:szCs w:val="24"/>
          <w:lang w:val="kk-KZ"/>
        </w:rPr>
        <w:t>2,9%-ын құрады.</w:t>
      </w:r>
    </w:p>
    <w:p w14:paraId="6A7B9205" w14:textId="77777777" w:rsidR="00E64B24" w:rsidRDefault="00E64B24" w:rsidP="00E64B24">
      <w:pPr>
        <w:autoSpaceDE w:val="0"/>
        <w:autoSpaceDN w:val="0"/>
        <w:adjustRightInd w:val="0"/>
        <w:spacing w:after="0" w:line="240" w:lineRule="auto"/>
        <w:ind w:firstLine="709"/>
        <w:jc w:val="both"/>
        <w:rPr>
          <w:rFonts w:asciiTheme="minorHAnsi" w:eastAsiaTheme="minorHAnsi" w:hAnsiTheme="minorHAnsi" w:cs="Arial"/>
          <w:sz w:val="24"/>
          <w:szCs w:val="24"/>
          <w:lang w:val="kk-KZ"/>
        </w:rPr>
      </w:pPr>
      <w:r>
        <w:rPr>
          <w:rFonts w:asciiTheme="minorHAnsi" w:eastAsia="Calibri" w:hAnsiTheme="minorHAnsi"/>
          <w:color w:val="000000"/>
          <w:sz w:val="24"/>
          <w:szCs w:val="24"/>
          <w:lang w:val="kk-KZ"/>
        </w:rPr>
        <w:t xml:space="preserve">2017 жылғы маусымда KZT/USD валюталық жұбы бойынша операциялардың жалпы көлемі </w:t>
      </w:r>
      <w:r>
        <w:rPr>
          <w:rFonts w:asciiTheme="minorHAnsi" w:eastAsiaTheme="minorHAnsi" w:hAnsiTheme="minorHAnsi" w:cs="Arial"/>
          <w:sz w:val="24"/>
          <w:szCs w:val="24"/>
          <w:lang w:val="kk-KZ"/>
        </w:rPr>
        <w:t>6,7</w:t>
      </w:r>
      <w:r>
        <w:rPr>
          <w:rFonts w:asciiTheme="minorHAnsi" w:eastAsia="Calibri" w:hAnsiTheme="minorHAnsi"/>
          <w:color w:val="000000"/>
          <w:sz w:val="24"/>
          <w:szCs w:val="24"/>
          <w:lang w:val="kk-KZ"/>
        </w:rPr>
        <w:t xml:space="preserve">%-ға ұлғайып, </w:t>
      </w:r>
      <w:r>
        <w:rPr>
          <w:rFonts w:asciiTheme="minorHAnsi" w:eastAsiaTheme="minorHAnsi" w:hAnsiTheme="minorHAnsi" w:cs="Arial"/>
          <w:sz w:val="24"/>
          <w:szCs w:val="24"/>
          <w:lang w:val="kk-KZ"/>
        </w:rPr>
        <w:t xml:space="preserve">13,5 </w:t>
      </w:r>
      <w:r>
        <w:rPr>
          <w:rFonts w:asciiTheme="minorHAnsi" w:eastAsia="Calibri" w:hAnsiTheme="minorHAnsi"/>
          <w:color w:val="000000"/>
          <w:sz w:val="24"/>
          <w:szCs w:val="24"/>
          <w:lang w:val="kk-KZ"/>
        </w:rPr>
        <w:t xml:space="preserve">млрд. АҚШ долларын құрады, оның ішінде Қазақстан қор биржасындағы биржалық сауда-саттықтың көлемі бір айда 3,5 млрд. АҚШ долларына дейін </w:t>
      </w:r>
      <w:r>
        <w:rPr>
          <w:rFonts w:asciiTheme="minorHAnsi" w:eastAsiaTheme="minorHAnsi" w:hAnsiTheme="minorHAnsi" w:cs="Arial"/>
          <w:sz w:val="24"/>
          <w:szCs w:val="24"/>
          <w:lang w:val="kk-KZ"/>
        </w:rPr>
        <w:t>4,7</w:t>
      </w:r>
      <w:r>
        <w:rPr>
          <w:rFonts w:asciiTheme="minorHAnsi" w:eastAsia="Calibri" w:hAnsiTheme="minorHAnsi"/>
          <w:color w:val="000000"/>
          <w:sz w:val="24"/>
          <w:szCs w:val="24"/>
          <w:lang w:val="kk-KZ"/>
        </w:rPr>
        <w:t xml:space="preserve">%-ға, биржадан тыс валюта нарығында операциялардың көлемі </w:t>
      </w:r>
      <w:r>
        <w:rPr>
          <w:rFonts w:asciiTheme="minorHAnsi" w:eastAsiaTheme="minorHAnsi" w:hAnsiTheme="minorHAnsi" w:cs="Arial"/>
          <w:sz w:val="24"/>
          <w:szCs w:val="24"/>
          <w:lang w:val="kk-KZ"/>
        </w:rPr>
        <w:t xml:space="preserve">10,0 </w:t>
      </w:r>
      <w:r>
        <w:rPr>
          <w:rFonts w:asciiTheme="minorHAnsi" w:eastAsia="Calibri" w:hAnsiTheme="minorHAnsi"/>
          <w:color w:val="000000"/>
          <w:sz w:val="24"/>
          <w:szCs w:val="24"/>
          <w:lang w:val="kk-KZ"/>
        </w:rPr>
        <w:t xml:space="preserve">млрд. АҚШ долларына  дейін </w:t>
      </w:r>
      <w:r>
        <w:rPr>
          <w:rFonts w:asciiTheme="minorHAnsi" w:eastAsiaTheme="minorHAnsi" w:hAnsiTheme="minorHAnsi" w:cs="Arial"/>
          <w:sz w:val="24"/>
          <w:szCs w:val="24"/>
          <w:lang w:val="kk-KZ"/>
        </w:rPr>
        <w:t>7,5</w:t>
      </w:r>
      <w:r>
        <w:rPr>
          <w:rFonts w:asciiTheme="minorHAnsi" w:eastAsia="Calibri" w:hAnsiTheme="minorHAnsi"/>
          <w:color w:val="000000"/>
          <w:sz w:val="24"/>
          <w:szCs w:val="24"/>
          <w:lang w:val="kk-KZ"/>
        </w:rPr>
        <w:t>1%-ға ұлғайды</w:t>
      </w:r>
      <w:r>
        <w:rPr>
          <w:rFonts w:asciiTheme="minorHAnsi" w:eastAsiaTheme="minorHAnsi" w:hAnsiTheme="minorHAnsi" w:cs="Arial"/>
          <w:sz w:val="24"/>
          <w:szCs w:val="24"/>
          <w:lang w:val="kk-KZ"/>
        </w:rPr>
        <w:t xml:space="preserve">. </w:t>
      </w:r>
    </w:p>
    <w:p w14:paraId="219DCA65" w14:textId="75C5766A" w:rsidR="00E64B24" w:rsidRDefault="00E64B24" w:rsidP="00E64B24">
      <w:pPr>
        <w:autoSpaceDE w:val="0"/>
        <w:autoSpaceDN w:val="0"/>
        <w:adjustRightInd w:val="0"/>
        <w:spacing w:after="0" w:line="240" w:lineRule="auto"/>
        <w:ind w:firstLine="709"/>
        <w:jc w:val="both"/>
        <w:rPr>
          <w:rFonts w:asciiTheme="minorHAnsi" w:eastAsiaTheme="minorHAnsi" w:hAnsiTheme="minorHAnsi" w:cs="Arial"/>
          <w:sz w:val="24"/>
          <w:szCs w:val="24"/>
          <w:lang w:val="kk-KZ"/>
        </w:rPr>
      </w:pPr>
      <w:r>
        <w:rPr>
          <w:rFonts w:asciiTheme="minorHAnsi" w:hAnsiTheme="minorHAnsi"/>
          <w:sz w:val="24"/>
          <w:szCs w:val="24"/>
          <w:lang w:val="kk-KZ" w:eastAsia="ru-RU"/>
        </w:rPr>
        <w:t xml:space="preserve">2017 жылғы </w:t>
      </w:r>
      <w:r>
        <w:rPr>
          <w:rFonts w:asciiTheme="minorHAnsi" w:eastAsia="Calibri" w:hAnsiTheme="minorHAnsi"/>
          <w:color w:val="000000"/>
          <w:sz w:val="24"/>
          <w:szCs w:val="24"/>
          <w:lang w:val="kk-KZ"/>
        </w:rPr>
        <w:t xml:space="preserve">маусымда </w:t>
      </w:r>
      <w:r>
        <w:rPr>
          <w:rFonts w:asciiTheme="minorHAnsi" w:hAnsiTheme="minorHAnsi"/>
          <w:sz w:val="24"/>
          <w:szCs w:val="24"/>
          <w:lang w:val="kk-KZ" w:eastAsia="ru-RU"/>
        </w:rPr>
        <w:t xml:space="preserve"> халықтың қолма-қол АҚШ долларын нетто-сатып алуының көлемі айырбастау пункттерінде </w:t>
      </w:r>
      <w:r>
        <w:rPr>
          <w:rFonts w:asciiTheme="minorHAnsi" w:eastAsiaTheme="minorHAnsi" w:hAnsiTheme="minorHAnsi" w:cs="Arial"/>
          <w:sz w:val="24"/>
          <w:szCs w:val="24"/>
          <w:lang w:val="kk-KZ"/>
        </w:rPr>
        <w:t>316,0 млн. АҚШ долларын</w:t>
      </w:r>
      <w:r w:rsidR="00F67F89">
        <w:rPr>
          <w:rFonts w:asciiTheme="minorHAnsi" w:eastAsiaTheme="minorHAnsi" w:hAnsiTheme="minorHAnsi" w:cs="Arial"/>
          <w:sz w:val="24"/>
          <w:szCs w:val="24"/>
          <w:lang w:val="kk-KZ"/>
        </w:rPr>
        <w:t xml:space="preserve"> құрады</w:t>
      </w:r>
      <w:r>
        <w:rPr>
          <w:rFonts w:asciiTheme="minorHAnsi" w:eastAsiaTheme="minorHAnsi" w:hAnsiTheme="minorHAnsi" w:cs="Arial"/>
          <w:sz w:val="24"/>
          <w:szCs w:val="24"/>
          <w:lang w:val="kk-KZ"/>
        </w:rPr>
        <w:t>.</w:t>
      </w:r>
    </w:p>
    <w:p w14:paraId="3D6A52D8" w14:textId="77777777" w:rsidR="00E64B24" w:rsidRDefault="00E64B24" w:rsidP="00E64B24">
      <w:pPr>
        <w:autoSpaceDE w:val="0"/>
        <w:autoSpaceDN w:val="0"/>
        <w:adjustRightInd w:val="0"/>
        <w:spacing w:after="0" w:line="240" w:lineRule="auto"/>
        <w:ind w:firstLine="709"/>
        <w:jc w:val="both"/>
        <w:rPr>
          <w:rFonts w:asciiTheme="minorHAnsi" w:eastAsiaTheme="minorHAnsi" w:hAnsiTheme="minorHAnsi" w:cs="Arial"/>
          <w:color w:val="000000"/>
          <w:sz w:val="24"/>
          <w:szCs w:val="24"/>
          <w:lang w:val="kk-KZ"/>
        </w:rPr>
      </w:pPr>
    </w:p>
    <w:p w14:paraId="32F8ED41" w14:textId="77777777" w:rsidR="00E64B24" w:rsidRDefault="00E64B24" w:rsidP="00E64B24">
      <w:pPr>
        <w:pStyle w:val="ac"/>
        <w:keepNext/>
        <w:numPr>
          <w:ilvl w:val="0"/>
          <w:numId w:val="8"/>
        </w:numPr>
        <w:tabs>
          <w:tab w:val="left" w:pos="1134"/>
        </w:tabs>
        <w:spacing w:after="0" w:line="240" w:lineRule="auto"/>
        <w:ind w:left="0" w:firstLine="709"/>
        <w:jc w:val="both"/>
        <w:rPr>
          <w:b/>
          <w:sz w:val="24"/>
          <w:szCs w:val="24"/>
          <w:lang w:val="kk-KZ"/>
        </w:rPr>
      </w:pPr>
      <w:r>
        <w:rPr>
          <w:rFonts w:asciiTheme="minorHAnsi" w:hAnsiTheme="minorHAnsi"/>
          <w:b/>
          <w:sz w:val="24"/>
          <w:szCs w:val="24"/>
          <w:lang w:val="kk-KZ" w:eastAsia="ru-RU"/>
        </w:rPr>
        <w:t xml:space="preserve">2017 жылғы маусымның соңындағы жағдай  бойынша  депозит нарығы </w:t>
      </w:r>
    </w:p>
    <w:p w14:paraId="12B2A6B7" w14:textId="77777777" w:rsidR="00E64B24" w:rsidRDefault="00E64B24" w:rsidP="00E64B24">
      <w:pPr>
        <w:tabs>
          <w:tab w:val="left" w:pos="5760"/>
        </w:tabs>
        <w:autoSpaceDE w:val="0"/>
        <w:autoSpaceDN w:val="0"/>
        <w:adjustRightInd w:val="0"/>
        <w:spacing w:after="0" w:line="240" w:lineRule="auto"/>
        <w:ind w:firstLine="720"/>
        <w:jc w:val="both"/>
        <w:rPr>
          <w:rFonts w:cs="Calibri"/>
          <w:color w:val="000000"/>
          <w:sz w:val="24"/>
          <w:szCs w:val="24"/>
          <w:lang w:val="kk-KZ" w:eastAsia="ru-RU"/>
        </w:rPr>
      </w:pPr>
      <w:r>
        <w:rPr>
          <w:rFonts w:asciiTheme="minorHAnsi" w:hAnsiTheme="minorHAnsi"/>
          <w:sz w:val="24"/>
          <w:szCs w:val="24"/>
          <w:lang w:val="kk-KZ" w:eastAsia="ru-RU"/>
        </w:rPr>
        <w:t>Резиденттердің депозиттік ұйымдардағы депозиттерінің көлемі бір айда 0,9</w:t>
      </w:r>
      <w:r>
        <w:rPr>
          <w:rFonts w:asciiTheme="minorHAnsi" w:hAnsiTheme="minorHAnsi"/>
          <w:color w:val="000000"/>
          <w:sz w:val="24"/>
          <w:szCs w:val="24"/>
          <w:lang w:val="kk-KZ" w:eastAsia="ru-RU"/>
        </w:rPr>
        <w:t>%</w:t>
      </w:r>
      <w:r>
        <w:rPr>
          <w:rFonts w:asciiTheme="minorHAnsi" w:hAnsiTheme="minorHAnsi"/>
          <w:sz w:val="24"/>
          <w:szCs w:val="24"/>
          <w:lang w:val="kk-KZ" w:eastAsia="ru-RU"/>
        </w:rPr>
        <w:t xml:space="preserve">-ға ұлғайып, 2017 жылғы маусымның соңында </w:t>
      </w:r>
      <w:r>
        <w:rPr>
          <w:sz w:val="24"/>
          <w:lang w:val="kk-KZ"/>
        </w:rPr>
        <w:t>17 860</w:t>
      </w:r>
      <w:r>
        <w:rPr>
          <w:rFonts w:cs="Calibri"/>
          <w:color w:val="000000"/>
          <w:sz w:val="28"/>
          <w:szCs w:val="24"/>
          <w:lang w:val="kk-KZ" w:eastAsia="ru-RU"/>
        </w:rPr>
        <w:t>,</w:t>
      </w:r>
      <w:r>
        <w:rPr>
          <w:rFonts w:cs="Calibri"/>
          <w:color w:val="000000"/>
          <w:sz w:val="24"/>
          <w:szCs w:val="24"/>
          <w:lang w:val="kk-KZ" w:eastAsia="ru-RU"/>
        </w:rPr>
        <w:t>1</w:t>
      </w:r>
      <w:r>
        <w:rPr>
          <w:rFonts w:cs="Calibri"/>
          <w:color w:val="000000"/>
          <w:sz w:val="28"/>
          <w:szCs w:val="24"/>
          <w:lang w:val="kk-KZ" w:eastAsia="ru-RU"/>
        </w:rPr>
        <w:t xml:space="preserve"> </w:t>
      </w:r>
      <w:r>
        <w:rPr>
          <w:rFonts w:asciiTheme="minorHAnsi" w:hAnsiTheme="minorHAnsi"/>
          <w:sz w:val="24"/>
          <w:szCs w:val="24"/>
          <w:lang w:val="kk-KZ" w:eastAsia="ru-RU"/>
        </w:rPr>
        <w:t xml:space="preserve">млрд. теңгені құрады. Заңды тұлғалардың депозиттері </w:t>
      </w:r>
      <w:r>
        <w:rPr>
          <w:rFonts w:cs="Calibri"/>
          <w:color w:val="000000"/>
          <w:sz w:val="24"/>
          <w:szCs w:val="24"/>
          <w:lang w:val="kk-KZ" w:eastAsia="ru-RU"/>
        </w:rPr>
        <w:t xml:space="preserve">10 058,3 </w:t>
      </w:r>
      <w:r>
        <w:rPr>
          <w:rFonts w:asciiTheme="minorHAnsi" w:hAnsiTheme="minorHAnsi"/>
          <w:sz w:val="24"/>
          <w:szCs w:val="24"/>
          <w:lang w:val="kk-KZ" w:eastAsia="ru-RU"/>
        </w:rPr>
        <w:t>млрд. теңгеге дейін 0,7</w:t>
      </w:r>
      <w:r>
        <w:rPr>
          <w:rFonts w:asciiTheme="minorHAnsi" w:hAnsiTheme="minorHAnsi"/>
          <w:color w:val="000000"/>
          <w:sz w:val="24"/>
          <w:szCs w:val="24"/>
          <w:lang w:val="kk-KZ" w:eastAsia="ru-RU"/>
        </w:rPr>
        <w:t>%</w:t>
      </w:r>
      <w:r>
        <w:rPr>
          <w:rFonts w:asciiTheme="minorHAnsi" w:hAnsiTheme="minorHAnsi"/>
          <w:sz w:val="24"/>
          <w:szCs w:val="24"/>
          <w:lang w:val="kk-KZ" w:eastAsia="ru-RU"/>
        </w:rPr>
        <w:t xml:space="preserve">-ға қысқарды, жеке тұлғалардың депозиттері </w:t>
      </w:r>
      <w:r>
        <w:rPr>
          <w:rFonts w:cs="Calibri"/>
          <w:color w:val="000000"/>
          <w:sz w:val="24"/>
          <w:szCs w:val="24"/>
          <w:lang w:val="kk-KZ" w:eastAsia="ru-RU"/>
        </w:rPr>
        <w:t xml:space="preserve">7 801,8 </w:t>
      </w:r>
      <w:r>
        <w:rPr>
          <w:rFonts w:asciiTheme="minorHAnsi" w:hAnsiTheme="minorHAnsi" w:cs="Calibri"/>
          <w:color w:val="000000"/>
          <w:sz w:val="24"/>
          <w:szCs w:val="24"/>
          <w:lang w:val="kk-KZ" w:eastAsia="ru-RU"/>
        </w:rPr>
        <w:t>млрд.</w:t>
      </w:r>
      <w:r>
        <w:rPr>
          <w:rFonts w:asciiTheme="minorHAnsi" w:hAnsiTheme="minorHAnsi"/>
          <w:sz w:val="24"/>
          <w:szCs w:val="24"/>
          <w:lang w:val="kk-KZ" w:eastAsia="ru-RU"/>
        </w:rPr>
        <w:t xml:space="preserve"> теңгеге дейін </w:t>
      </w:r>
      <w:r>
        <w:rPr>
          <w:rFonts w:cs="Calibri"/>
          <w:color w:val="000000"/>
          <w:sz w:val="24"/>
          <w:szCs w:val="24"/>
          <w:lang w:val="kk-KZ" w:eastAsia="ru-RU"/>
        </w:rPr>
        <w:t>3%-ға</w:t>
      </w:r>
      <w:r>
        <w:rPr>
          <w:rFonts w:asciiTheme="minorHAnsi" w:hAnsiTheme="minorHAnsi"/>
          <w:sz w:val="24"/>
          <w:szCs w:val="24"/>
          <w:lang w:val="kk-KZ" w:eastAsia="ru-RU"/>
        </w:rPr>
        <w:t xml:space="preserve"> ұлғайды</w:t>
      </w:r>
      <w:r>
        <w:rPr>
          <w:rFonts w:cs="Calibri"/>
          <w:color w:val="000000"/>
          <w:sz w:val="24"/>
          <w:szCs w:val="24"/>
          <w:lang w:val="kk-KZ" w:eastAsia="ru-RU"/>
        </w:rPr>
        <w:t>.</w:t>
      </w:r>
    </w:p>
    <w:p w14:paraId="6AB2749F" w14:textId="51B2B293" w:rsidR="00E64B24" w:rsidRDefault="00E64B24" w:rsidP="00E64B24">
      <w:pPr>
        <w:tabs>
          <w:tab w:val="left" w:pos="5760"/>
        </w:tabs>
        <w:autoSpaceDE w:val="0"/>
        <w:autoSpaceDN w:val="0"/>
        <w:adjustRightInd w:val="0"/>
        <w:spacing w:after="0" w:line="240" w:lineRule="auto"/>
        <w:ind w:firstLine="720"/>
        <w:jc w:val="both"/>
        <w:rPr>
          <w:rFonts w:cs="Calibri"/>
          <w:color w:val="000000"/>
          <w:sz w:val="24"/>
          <w:szCs w:val="24"/>
          <w:lang w:val="kk-KZ" w:eastAsia="ru-RU"/>
        </w:rPr>
      </w:pPr>
      <w:r>
        <w:rPr>
          <w:rFonts w:asciiTheme="minorHAnsi" w:hAnsiTheme="minorHAnsi"/>
          <w:sz w:val="24"/>
          <w:szCs w:val="24"/>
          <w:lang w:val="kk-KZ" w:eastAsia="ru-RU"/>
        </w:rPr>
        <w:t xml:space="preserve">2017 жылғы маусымның соңындағы жағдай бойынша ұлттық валютадағы депозиттердің көлемі </w:t>
      </w:r>
      <w:r>
        <w:rPr>
          <w:rFonts w:cs="Calibri"/>
          <w:color w:val="000000"/>
          <w:sz w:val="24"/>
          <w:szCs w:val="24"/>
          <w:lang w:val="kk-KZ" w:eastAsia="ru-RU"/>
        </w:rPr>
        <w:t xml:space="preserve">9 021,4 </w:t>
      </w:r>
      <w:r>
        <w:rPr>
          <w:rFonts w:asciiTheme="minorHAnsi" w:hAnsiTheme="minorHAnsi"/>
          <w:color w:val="000000"/>
          <w:sz w:val="24"/>
          <w:szCs w:val="24"/>
          <w:lang w:val="kk-KZ" w:eastAsia="ru-RU"/>
        </w:rPr>
        <w:t>млрд</w:t>
      </w:r>
      <w:r>
        <w:rPr>
          <w:rFonts w:asciiTheme="minorHAnsi" w:hAnsiTheme="minorHAnsi"/>
          <w:sz w:val="24"/>
          <w:szCs w:val="24"/>
          <w:lang w:val="kk-KZ" w:eastAsia="ru-RU"/>
        </w:rPr>
        <w:t xml:space="preserve">. теңгені (бір айда 1,6%-ға ұлғайды), шетел валютасындағы депозиттер </w:t>
      </w:r>
      <w:r w:rsidR="003B751F">
        <w:rPr>
          <w:rFonts w:asciiTheme="minorHAnsi" w:hAnsiTheme="minorHAnsi"/>
          <w:color w:val="000000"/>
          <w:sz w:val="24"/>
          <w:szCs w:val="24"/>
          <w:lang w:val="kk-KZ" w:eastAsia="ru-RU"/>
        </w:rPr>
        <w:t>негізінен теңгенің әлсіреуі нәтижесінде валюталық қайта бағалау есебінен</w:t>
      </w:r>
      <w:r w:rsidR="003B751F">
        <w:rPr>
          <w:rFonts w:asciiTheme="minorHAnsi" w:hAnsiTheme="minorHAnsi"/>
          <w:sz w:val="24"/>
          <w:szCs w:val="24"/>
          <w:lang w:val="kk-KZ" w:eastAsia="ru-RU"/>
        </w:rPr>
        <w:t xml:space="preserve"> </w:t>
      </w:r>
      <w:r>
        <w:rPr>
          <w:rFonts w:asciiTheme="minorHAnsi" w:hAnsiTheme="minorHAnsi"/>
          <w:sz w:val="24"/>
          <w:szCs w:val="24"/>
          <w:lang w:val="kk-KZ" w:eastAsia="ru-RU"/>
        </w:rPr>
        <w:t xml:space="preserve">бір айда  </w:t>
      </w:r>
      <w:r>
        <w:rPr>
          <w:rFonts w:cs="Calibri"/>
          <w:color w:val="000000"/>
          <w:sz w:val="24"/>
          <w:szCs w:val="24"/>
          <w:lang w:val="kk-KZ" w:eastAsia="ru-RU"/>
        </w:rPr>
        <w:t xml:space="preserve">8 838,6 </w:t>
      </w:r>
      <w:r>
        <w:rPr>
          <w:rFonts w:asciiTheme="minorHAnsi" w:hAnsiTheme="minorHAnsi"/>
          <w:color w:val="000000"/>
          <w:sz w:val="24"/>
          <w:szCs w:val="24"/>
          <w:lang w:val="kk-KZ" w:eastAsia="ru-RU"/>
        </w:rPr>
        <w:t>1,</w:t>
      </w:r>
      <w:r>
        <w:rPr>
          <w:rFonts w:asciiTheme="minorHAnsi" w:hAnsiTheme="minorHAnsi" w:cs="Calibri"/>
          <w:color w:val="000000"/>
          <w:sz w:val="24"/>
          <w:szCs w:val="24"/>
          <w:lang w:val="kk-KZ" w:eastAsia="ru-RU"/>
        </w:rPr>
        <w:t xml:space="preserve"> 6 </w:t>
      </w:r>
      <w:r>
        <w:rPr>
          <w:rFonts w:asciiTheme="minorHAnsi" w:hAnsiTheme="minorHAnsi"/>
          <w:color w:val="000000"/>
          <w:sz w:val="24"/>
          <w:szCs w:val="24"/>
          <w:lang w:val="kk-KZ" w:eastAsia="ru-RU"/>
        </w:rPr>
        <w:t>млрд. теңгеге дейін 3,5%-ға  өсті.  Долларлану деңгейі маусымда 48,2%-дан 49,5%-ға өсті. Төрт</w:t>
      </w:r>
      <w:r>
        <w:rPr>
          <w:rFonts w:asciiTheme="minorHAnsi" w:hAnsiTheme="minorHAnsi"/>
          <w:sz w:val="24"/>
          <w:szCs w:val="24"/>
          <w:lang w:val="kk-KZ"/>
        </w:rPr>
        <w:t xml:space="preserve"> ай қатарынан </w:t>
      </w:r>
      <w:r>
        <w:rPr>
          <w:rFonts w:asciiTheme="minorHAnsi" w:hAnsiTheme="minorHAnsi"/>
          <w:sz w:val="24"/>
          <w:szCs w:val="24"/>
          <w:lang w:val="kk-KZ" w:eastAsia="ru-RU"/>
        </w:rPr>
        <w:t>ұлттық валютадағы депозиттердің көлемі шетел валютасындағы депозиттердің көлемінен артып түсуде</w:t>
      </w:r>
      <w:r>
        <w:rPr>
          <w:rFonts w:cs="Calibri"/>
          <w:color w:val="000000"/>
          <w:sz w:val="24"/>
          <w:szCs w:val="24"/>
          <w:lang w:val="kk-KZ" w:eastAsia="ru-RU"/>
        </w:rPr>
        <w:t xml:space="preserve">. </w:t>
      </w:r>
    </w:p>
    <w:p w14:paraId="5B30F62A" w14:textId="2A92F245" w:rsidR="00E64B24" w:rsidRDefault="00E64B24" w:rsidP="00E64B24">
      <w:pPr>
        <w:tabs>
          <w:tab w:val="left" w:pos="5760"/>
        </w:tabs>
        <w:autoSpaceDE w:val="0"/>
        <w:autoSpaceDN w:val="0"/>
        <w:adjustRightInd w:val="0"/>
        <w:spacing w:after="0" w:line="240" w:lineRule="auto"/>
        <w:ind w:firstLine="720"/>
        <w:jc w:val="both"/>
        <w:rPr>
          <w:rFonts w:cs="Calibri"/>
          <w:color w:val="000000"/>
          <w:sz w:val="24"/>
          <w:szCs w:val="24"/>
          <w:lang w:val="kk-KZ" w:eastAsia="ru-RU"/>
        </w:rPr>
      </w:pPr>
      <w:r>
        <w:rPr>
          <w:rFonts w:asciiTheme="minorHAnsi" w:hAnsiTheme="minorHAnsi"/>
          <w:sz w:val="24"/>
          <w:szCs w:val="24"/>
          <w:lang w:val="kk-KZ" w:eastAsia="ru-RU"/>
        </w:rPr>
        <w:t xml:space="preserve">Заңды тұлғалардың ұлттық валютадағы депозиттері 2017 жылғы </w:t>
      </w:r>
      <w:r>
        <w:rPr>
          <w:rFonts w:asciiTheme="minorHAnsi" w:hAnsiTheme="minorHAnsi"/>
          <w:color w:val="000000"/>
          <w:sz w:val="24"/>
          <w:szCs w:val="24"/>
          <w:lang w:val="kk-KZ" w:eastAsia="ru-RU"/>
        </w:rPr>
        <w:t>маусымда</w:t>
      </w:r>
      <w:r>
        <w:rPr>
          <w:rFonts w:asciiTheme="minorHAnsi" w:hAnsiTheme="minorHAnsi"/>
          <w:sz w:val="24"/>
          <w:szCs w:val="24"/>
          <w:lang w:val="kk-KZ" w:eastAsia="ru-RU"/>
        </w:rPr>
        <w:t xml:space="preserve"> 4</w:t>
      </w:r>
      <w:r>
        <w:rPr>
          <w:rFonts w:asciiTheme="minorHAnsi" w:hAnsiTheme="minorHAnsi"/>
          <w:color w:val="000000"/>
          <w:sz w:val="24"/>
          <w:szCs w:val="24"/>
          <w:lang w:val="kk-KZ" w:eastAsia="ru-RU"/>
        </w:rPr>
        <w:t>,9</w:t>
      </w:r>
      <w:r>
        <w:rPr>
          <w:rFonts w:asciiTheme="minorHAnsi" w:hAnsiTheme="minorHAnsi"/>
          <w:sz w:val="24"/>
          <w:szCs w:val="24"/>
          <w:lang w:val="kk-KZ" w:eastAsia="ru-RU"/>
        </w:rPr>
        <w:t xml:space="preserve">%-ға қысқарып, </w:t>
      </w:r>
      <w:r>
        <w:rPr>
          <w:rFonts w:cs="Calibri"/>
          <w:color w:val="000000"/>
          <w:sz w:val="24"/>
          <w:szCs w:val="24"/>
          <w:lang w:val="kk-KZ" w:eastAsia="ru-RU"/>
        </w:rPr>
        <w:t xml:space="preserve">5 486,2 </w:t>
      </w:r>
      <w:r>
        <w:rPr>
          <w:rFonts w:asciiTheme="minorHAnsi" w:hAnsiTheme="minorHAnsi"/>
          <w:sz w:val="24"/>
          <w:szCs w:val="24"/>
          <w:lang w:val="kk-KZ" w:eastAsia="ru-RU"/>
        </w:rPr>
        <w:t>млрд. теңге болды, шетел валютасындағы депозиттер</w:t>
      </w:r>
      <w:r w:rsidR="003B751F">
        <w:rPr>
          <w:rFonts w:asciiTheme="minorHAnsi" w:hAnsiTheme="minorHAnsi"/>
          <w:sz w:val="24"/>
          <w:szCs w:val="24"/>
          <w:lang w:val="kk-KZ" w:eastAsia="ru-RU"/>
        </w:rPr>
        <w:t>і</w:t>
      </w:r>
      <w:r>
        <w:rPr>
          <w:rFonts w:asciiTheme="minorHAnsi" w:hAnsiTheme="minorHAnsi"/>
          <w:sz w:val="24"/>
          <w:szCs w:val="24"/>
          <w:lang w:val="kk-KZ" w:eastAsia="ru-RU"/>
        </w:rPr>
        <w:t xml:space="preserve"> </w:t>
      </w:r>
      <w:r>
        <w:rPr>
          <w:rFonts w:cs="Calibri"/>
          <w:color w:val="000000"/>
          <w:sz w:val="24"/>
          <w:szCs w:val="24"/>
          <w:lang w:val="kk-KZ" w:eastAsia="ru-RU"/>
        </w:rPr>
        <w:t xml:space="preserve">4 572,1 </w:t>
      </w:r>
      <w:r>
        <w:rPr>
          <w:rFonts w:asciiTheme="minorHAnsi" w:hAnsiTheme="minorHAnsi" w:cs="Calibri"/>
          <w:color w:val="000000"/>
          <w:sz w:val="24"/>
          <w:szCs w:val="24"/>
          <w:lang w:val="kk-KZ" w:eastAsia="ru-RU"/>
        </w:rPr>
        <w:t xml:space="preserve">млрд. теңгеге дейін </w:t>
      </w:r>
      <w:r>
        <w:rPr>
          <w:rFonts w:asciiTheme="minorHAnsi" w:hAnsiTheme="minorHAnsi"/>
          <w:sz w:val="24"/>
          <w:szCs w:val="24"/>
          <w:lang w:val="kk-KZ" w:eastAsia="ru-RU"/>
        </w:rPr>
        <w:t>(заңды тұлғалар депозиттерін</w:t>
      </w:r>
      <w:r w:rsidR="003B751F">
        <w:rPr>
          <w:rFonts w:asciiTheme="minorHAnsi" w:hAnsiTheme="minorHAnsi"/>
          <w:sz w:val="24"/>
          <w:szCs w:val="24"/>
          <w:lang w:val="kk-KZ" w:eastAsia="ru-RU"/>
        </w:rPr>
        <w:t>ің</w:t>
      </w:r>
      <w:r>
        <w:rPr>
          <w:rFonts w:asciiTheme="minorHAnsi" w:hAnsiTheme="minorHAnsi"/>
          <w:sz w:val="24"/>
          <w:szCs w:val="24"/>
          <w:lang w:val="kk-KZ" w:eastAsia="ru-RU"/>
        </w:rPr>
        <w:t xml:space="preserve"> </w:t>
      </w:r>
      <w:r>
        <w:rPr>
          <w:rFonts w:cs="Calibri"/>
          <w:color w:val="000000"/>
          <w:sz w:val="24"/>
          <w:szCs w:val="24"/>
          <w:lang w:val="kk-KZ" w:eastAsia="ru-RU"/>
        </w:rPr>
        <w:t>45,5</w:t>
      </w:r>
      <w:r>
        <w:rPr>
          <w:rFonts w:asciiTheme="minorHAnsi" w:hAnsiTheme="minorHAnsi"/>
          <w:color w:val="000000"/>
          <w:sz w:val="24"/>
          <w:szCs w:val="24"/>
          <w:lang w:val="kk-KZ" w:eastAsia="ru-RU"/>
        </w:rPr>
        <w:t>%</w:t>
      </w:r>
      <w:r w:rsidR="003B751F">
        <w:rPr>
          <w:rFonts w:asciiTheme="minorHAnsi" w:hAnsiTheme="minorHAnsi"/>
          <w:color w:val="000000"/>
          <w:sz w:val="24"/>
          <w:szCs w:val="24"/>
          <w:lang w:val="kk-KZ" w:eastAsia="ru-RU"/>
        </w:rPr>
        <w:t>-ы</w:t>
      </w:r>
      <w:r>
        <w:rPr>
          <w:rFonts w:asciiTheme="minorHAnsi" w:hAnsiTheme="minorHAnsi"/>
          <w:color w:val="000000"/>
          <w:sz w:val="24"/>
          <w:szCs w:val="24"/>
          <w:lang w:val="kk-KZ" w:eastAsia="ru-RU"/>
        </w:rPr>
        <w:t>) 4,8</w:t>
      </w:r>
      <w:r>
        <w:rPr>
          <w:rFonts w:asciiTheme="minorHAnsi" w:hAnsiTheme="minorHAnsi"/>
          <w:sz w:val="24"/>
          <w:szCs w:val="24"/>
          <w:lang w:val="kk-KZ" w:eastAsia="ru-RU"/>
        </w:rPr>
        <w:t>%-ға ұлғайды</w:t>
      </w:r>
      <w:r>
        <w:rPr>
          <w:rFonts w:cs="Calibri"/>
          <w:color w:val="000000"/>
          <w:sz w:val="24"/>
          <w:szCs w:val="24"/>
          <w:lang w:val="kk-KZ" w:eastAsia="ru-RU"/>
        </w:rPr>
        <w:t>.</w:t>
      </w:r>
    </w:p>
    <w:p w14:paraId="5B7FDC5A" w14:textId="1171D686" w:rsidR="00377F81" w:rsidRDefault="00377F81" w:rsidP="00377F81">
      <w:pPr>
        <w:tabs>
          <w:tab w:val="left" w:pos="5760"/>
        </w:tabs>
        <w:autoSpaceDE w:val="0"/>
        <w:autoSpaceDN w:val="0"/>
        <w:adjustRightInd w:val="0"/>
        <w:spacing w:after="0" w:line="240" w:lineRule="auto"/>
        <w:ind w:firstLine="709"/>
        <w:jc w:val="both"/>
        <w:rPr>
          <w:rFonts w:asciiTheme="minorHAnsi" w:hAnsiTheme="minorHAnsi"/>
          <w:color w:val="000000"/>
          <w:sz w:val="24"/>
          <w:szCs w:val="24"/>
          <w:lang w:val="kk-KZ" w:eastAsia="ru-RU"/>
        </w:rPr>
      </w:pPr>
      <w:r>
        <w:rPr>
          <w:rFonts w:asciiTheme="minorHAnsi" w:hAnsiTheme="minorHAnsi"/>
          <w:sz w:val="24"/>
          <w:szCs w:val="24"/>
          <w:lang w:val="kk-KZ" w:eastAsia="ru-RU"/>
        </w:rPr>
        <w:lastRenderedPageBreak/>
        <w:t xml:space="preserve">Жеке тұлғалардың теңгемен депозиттері 2017 жылғы </w:t>
      </w:r>
      <w:r>
        <w:rPr>
          <w:rFonts w:asciiTheme="minorHAnsi" w:hAnsiTheme="minorHAnsi"/>
          <w:color w:val="000000"/>
          <w:sz w:val="24"/>
          <w:szCs w:val="24"/>
          <w:lang w:val="kk-KZ" w:eastAsia="ru-RU"/>
        </w:rPr>
        <w:t>маусымда</w:t>
      </w:r>
      <w:r>
        <w:rPr>
          <w:rFonts w:asciiTheme="minorHAnsi" w:hAnsiTheme="minorHAnsi"/>
          <w:sz w:val="24"/>
          <w:szCs w:val="24"/>
          <w:lang w:val="kk-KZ" w:eastAsia="ru-RU"/>
        </w:rPr>
        <w:t xml:space="preserve"> </w:t>
      </w:r>
      <w:r>
        <w:rPr>
          <w:rFonts w:asciiTheme="minorHAnsi" w:hAnsiTheme="minorHAnsi"/>
          <w:color w:val="000000"/>
          <w:sz w:val="24"/>
          <w:szCs w:val="24"/>
          <w:lang w:val="kk-KZ" w:eastAsia="ru-RU"/>
        </w:rPr>
        <w:t>4,0</w:t>
      </w:r>
      <w:r>
        <w:rPr>
          <w:rFonts w:asciiTheme="minorHAnsi" w:hAnsiTheme="minorHAnsi"/>
          <w:sz w:val="24"/>
          <w:szCs w:val="24"/>
          <w:lang w:val="kk-KZ" w:eastAsia="ru-RU"/>
        </w:rPr>
        <w:t xml:space="preserve">%-ға ұлғайып,              </w:t>
      </w:r>
      <w:r>
        <w:rPr>
          <w:rFonts w:cs="Calibri"/>
          <w:color w:val="000000"/>
          <w:sz w:val="24"/>
          <w:szCs w:val="24"/>
          <w:lang w:val="kk-KZ" w:eastAsia="ru-RU"/>
        </w:rPr>
        <w:t>3 535,2</w:t>
      </w:r>
      <w:r>
        <w:rPr>
          <w:rFonts w:asciiTheme="minorHAnsi" w:hAnsiTheme="minorHAnsi" w:cs="Calibri"/>
          <w:color w:val="000000"/>
          <w:sz w:val="24"/>
          <w:szCs w:val="24"/>
          <w:lang w:val="kk-KZ" w:eastAsia="ru-RU"/>
        </w:rPr>
        <w:t xml:space="preserve"> </w:t>
      </w:r>
      <w:r>
        <w:rPr>
          <w:rFonts w:asciiTheme="minorHAnsi" w:hAnsiTheme="minorHAnsi"/>
          <w:sz w:val="24"/>
          <w:szCs w:val="24"/>
          <w:lang w:val="kk-KZ" w:eastAsia="ru-RU"/>
        </w:rPr>
        <w:t xml:space="preserve">млрд. теңгені құрады, шетел валютасымен депозиттер </w:t>
      </w:r>
      <w:r>
        <w:rPr>
          <w:rFonts w:asciiTheme="minorHAnsi" w:hAnsiTheme="minorHAnsi"/>
          <w:color w:val="000000"/>
          <w:sz w:val="24"/>
          <w:szCs w:val="24"/>
          <w:lang w:val="kk-KZ" w:eastAsia="ru-RU"/>
        </w:rPr>
        <w:t>2,1</w:t>
      </w:r>
      <w:r>
        <w:rPr>
          <w:rFonts w:asciiTheme="minorHAnsi" w:hAnsiTheme="minorHAnsi"/>
          <w:sz w:val="24"/>
          <w:szCs w:val="24"/>
          <w:lang w:val="kk-KZ" w:eastAsia="ru-RU"/>
        </w:rPr>
        <w:t xml:space="preserve">%-ға өсіп, </w:t>
      </w:r>
      <w:r>
        <w:rPr>
          <w:rFonts w:asciiTheme="minorHAnsi" w:hAnsiTheme="minorHAnsi"/>
          <w:sz w:val="24"/>
          <w:szCs w:val="24"/>
          <w:lang w:val="kk-KZ" w:eastAsia="ru-RU"/>
        </w:rPr>
        <w:br/>
      </w:r>
      <w:r>
        <w:rPr>
          <w:sz w:val="24"/>
          <w:szCs w:val="24"/>
          <w:lang w:val="kk-KZ"/>
        </w:rPr>
        <w:t>4 266</w:t>
      </w:r>
      <w:r>
        <w:rPr>
          <w:rFonts w:cs="Calibri"/>
          <w:color w:val="000000"/>
          <w:sz w:val="24"/>
          <w:szCs w:val="24"/>
          <w:lang w:val="kk-KZ" w:eastAsia="ru-RU"/>
        </w:rPr>
        <w:t>,6</w:t>
      </w:r>
      <w:r>
        <w:rPr>
          <w:rFonts w:asciiTheme="minorHAnsi" w:hAnsiTheme="minorHAnsi" w:cs="Calibri"/>
          <w:color w:val="000000"/>
          <w:sz w:val="24"/>
          <w:szCs w:val="24"/>
          <w:lang w:val="kk-KZ" w:eastAsia="ru-RU"/>
        </w:rPr>
        <w:t xml:space="preserve"> </w:t>
      </w:r>
      <w:r>
        <w:rPr>
          <w:rFonts w:asciiTheme="minorHAnsi" w:hAnsiTheme="minorHAnsi"/>
          <w:sz w:val="24"/>
          <w:szCs w:val="24"/>
          <w:lang w:val="kk-KZ" w:eastAsia="ru-RU"/>
        </w:rPr>
        <w:t>млрд. теңге (жеке тұлғалар депозиттерін</w:t>
      </w:r>
      <w:r w:rsidR="003B751F">
        <w:rPr>
          <w:rFonts w:asciiTheme="minorHAnsi" w:hAnsiTheme="minorHAnsi"/>
          <w:sz w:val="24"/>
          <w:szCs w:val="24"/>
          <w:lang w:val="kk-KZ" w:eastAsia="ru-RU"/>
        </w:rPr>
        <w:t>ің</w:t>
      </w:r>
      <w:r>
        <w:rPr>
          <w:rFonts w:asciiTheme="minorHAnsi" w:hAnsiTheme="minorHAnsi"/>
          <w:sz w:val="24"/>
          <w:szCs w:val="24"/>
          <w:lang w:val="kk-KZ" w:eastAsia="ru-RU"/>
        </w:rPr>
        <w:t xml:space="preserve"> </w:t>
      </w:r>
      <w:r>
        <w:rPr>
          <w:rFonts w:asciiTheme="minorHAnsi" w:hAnsiTheme="minorHAnsi"/>
          <w:color w:val="000000"/>
          <w:sz w:val="24"/>
          <w:szCs w:val="24"/>
          <w:lang w:val="kk-KZ" w:eastAsia="ru-RU"/>
        </w:rPr>
        <w:t>54,7%</w:t>
      </w:r>
      <w:r w:rsidR="003B751F">
        <w:rPr>
          <w:rFonts w:asciiTheme="minorHAnsi" w:hAnsiTheme="minorHAnsi"/>
          <w:color w:val="000000"/>
          <w:sz w:val="24"/>
          <w:szCs w:val="24"/>
          <w:lang w:val="kk-KZ" w:eastAsia="ru-RU"/>
        </w:rPr>
        <w:t>-ы</w:t>
      </w:r>
      <w:r>
        <w:rPr>
          <w:rFonts w:asciiTheme="minorHAnsi" w:hAnsiTheme="minorHAnsi"/>
          <w:color w:val="000000"/>
          <w:sz w:val="24"/>
          <w:szCs w:val="24"/>
          <w:lang w:val="kk-KZ" w:eastAsia="ru-RU"/>
        </w:rPr>
        <w:t xml:space="preserve">) </w:t>
      </w:r>
      <w:r>
        <w:rPr>
          <w:rFonts w:asciiTheme="minorHAnsi" w:hAnsiTheme="minorHAnsi"/>
          <w:sz w:val="24"/>
          <w:szCs w:val="24"/>
          <w:lang w:val="kk-KZ" w:eastAsia="ru-RU"/>
        </w:rPr>
        <w:t>болды</w:t>
      </w:r>
      <w:r>
        <w:rPr>
          <w:rFonts w:asciiTheme="minorHAnsi" w:hAnsiTheme="minorHAnsi"/>
          <w:sz w:val="24"/>
          <w:szCs w:val="24"/>
          <w:shd w:val="clear" w:color="auto" w:fill="FFFFFF"/>
          <w:lang w:val="kk-KZ" w:eastAsia="ru-RU"/>
        </w:rPr>
        <w:t xml:space="preserve">. </w:t>
      </w:r>
      <w:r>
        <w:rPr>
          <w:rFonts w:asciiTheme="minorHAnsi" w:hAnsiTheme="minorHAnsi"/>
          <w:color w:val="000000"/>
          <w:sz w:val="24"/>
          <w:szCs w:val="24"/>
          <w:lang w:val="kk-KZ" w:eastAsia="ru-RU"/>
        </w:rPr>
        <w:t xml:space="preserve"> </w:t>
      </w:r>
    </w:p>
    <w:p w14:paraId="533541A2" w14:textId="77777777" w:rsidR="00377F81" w:rsidRDefault="00377F81" w:rsidP="00377F81">
      <w:pPr>
        <w:autoSpaceDE w:val="0"/>
        <w:autoSpaceDN w:val="0"/>
        <w:adjustRightInd w:val="0"/>
        <w:spacing w:after="0" w:line="240" w:lineRule="auto"/>
        <w:ind w:firstLine="720"/>
        <w:jc w:val="both"/>
        <w:rPr>
          <w:rFonts w:asciiTheme="minorHAnsi" w:hAnsiTheme="minorHAnsi"/>
          <w:sz w:val="24"/>
          <w:szCs w:val="24"/>
          <w:lang w:val="kk-KZ" w:eastAsia="ru-RU"/>
        </w:rPr>
      </w:pPr>
      <w:r>
        <w:rPr>
          <w:rFonts w:asciiTheme="minorHAnsi" w:hAnsiTheme="minorHAnsi"/>
          <w:sz w:val="24"/>
          <w:szCs w:val="24"/>
          <w:lang w:val="kk-KZ" w:eastAsia="ru-RU"/>
        </w:rPr>
        <w:t xml:space="preserve">Мерзімді депозиттер маусымда </w:t>
      </w:r>
      <w:r>
        <w:rPr>
          <w:rFonts w:asciiTheme="minorHAnsi" w:hAnsiTheme="minorHAnsi" w:cs="Calibri"/>
          <w:color w:val="000000"/>
          <w:sz w:val="24"/>
          <w:szCs w:val="24"/>
          <w:lang w:val="kk-KZ" w:eastAsia="ru-RU"/>
        </w:rPr>
        <w:t xml:space="preserve">0,9%-ға қысқарды және </w:t>
      </w:r>
      <w:r>
        <w:rPr>
          <w:rFonts w:cs="Calibri"/>
          <w:color w:val="000000"/>
          <w:sz w:val="24"/>
          <w:szCs w:val="24"/>
          <w:lang w:val="kk-KZ" w:eastAsia="ru-RU"/>
        </w:rPr>
        <w:t xml:space="preserve">11 931,9 </w:t>
      </w:r>
      <w:r>
        <w:rPr>
          <w:rFonts w:asciiTheme="minorHAnsi" w:hAnsiTheme="minorHAnsi" w:cs="Calibri"/>
          <w:color w:val="000000"/>
          <w:sz w:val="24"/>
          <w:szCs w:val="24"/>
          <w:lang w:val="kk-KZ" w:eastAsia="ru-RU"/>
        </w:rPr>
        <w:t>млрд. теңгені құрады</w:t>
      </w:r>
      <w:r>
        <w:rPr>
          <w:rFonts w:asciiTheme="minorHAnsi" w:hAnsiTheme="minorHAnsi"/>
          <w:sz w:val="24"/>
          <w:szCs w:val="24"/>
          <w:lang w:val="kk-KZ" w:eastAsia="ru-RU"/>
        </w:rPr>
        <w:t xml:space="preserve">.  Мерзімді депозиттер құрылымында ұлттық валютамен салымдар </w:t>
      </w:r>
      <w:r>
        <w:rPr>
          <w:rFonts w:cs="Calibri"/>
          <w:color w:val="000000"/>
          <w:sz w:val="24"/>
          <w:szCs w:val="24"/>
          <w:lang w:val="kk-KZ" w:eastAsia="ru-RU"/>
        </w:rPr>
        <w:t xml:space="preserve">5 841,2 </w:t>
      </w:r>
      <w:r>
        <w:rPr>
          <w:rFonts w:asciiTheme="minorHAnsi" w:hAnsiTheme="minorHAnsi"/>
          <w:sz w:val="24"/>
          <w:szCs w:val="24"/>
          <w:lang w:val="kk-KZ" w:eastAsia="ru-RU"/>
        </w:rPr>
        <w:t xml:space="preserve">млрд. теңге (бір айда 1,1%-ға ұлғайды), шетел валютасымен салымдар </w:t>
      </w:r>
      <w:r>
        <w:rPr>
          <w:rFonts w:cs="Calibri"/>
          <w:color w:val="000000"/>
          <w:sz w:val="24"/>
          <w:szCs w:val="24"/>
          <w:lang w:val="kk-KZ" w:eastAsia="ru-RU"/>
        </w:rPr>
        <w:t xml:space="preserve">6 090,7 </w:t>
      </w:r>
      <w:r>
        <w:rPr>
          <w:rFonts w:asciiTheme="minorHAnsi" w:hAnsiTheme="minorHAnsi"/>
          <w:sz w:val="24"/>
          <w:szCs w:val="24"/>
          <w:lang w:val="kk-KZ" w:eastAsia="ru-RU"/>
        </w:rPr>
        <w:t xml:space="preserve">млрд. теңге болды (бір айда </w:t>
      </w:r>
      <w:r>
        <w:rPr>
          <w:rFonts w:asciiTheme="minorHAnsi" w:hAnsiTheme="minorHAnsi"/>
          <w:color w:val="000000"/>
          <w:sz w:val="24"/>
          <w:szCs w:val="24"/>
          <w:lang w:val="kk-KZ" w:eastAsia="ru-RU"/>
        </w:rPr>
        <w:t>2,8</w:t>
      </w:r>
      <w:r>
        <w:rPr>
          <w:rFonts w:asciiTheme="minorHAnsi" w:hAnsiTheme="minorHAnsi"/>
          <w:sz w:val="24"/>
          <w:szCs w:val="24"/>
          <w:lang w:val="kk-KZ"/>
        </w:rPr>
        <w:t>%-ға төмендеді</w:t>
      </w:r>
      <w:r>
        <w:rPr>
          <w:rFonts w:asciiTheme="minorHAnsi" w:hAnsiTheme="minorHAnsi"/>
          <w:sz w:val="24"/>
          <w:szCs w:val="24"/>
          <w:lang w:val="kk-KZ" w:eastAsia="ru-RU"/>
        </w:rPr>
        <w:t>).</w:t>
      </w:r>
    </w:p>
    <w:p w14:paraId="3D23D4FE" w14:textId="77777777" w:rsidR="00377F81" w:rsidRDefault="00377F81" w:rsidP="00377F81">
      <w:pPr>
        <w:tabs>
          <w:tab w:val="left" w:pos="5760"/>
        </w:tabs>
        <w:autoSpaceDE w:val="0"/>
        <w:autoSpaceDN w:val="0"/>
        <w:adjustRightInd w:val="0"/>
        <w:spacing w:after="0" w:line="240" w:lineRule="auto"/>
        <w:ind w:firstLine="720"/>
        <w:jc w:val="both"/>
        <w:rPr>
          <w:rFonts w:asciiTheme="minorHAnsi" w:hAnsiTheme="minorHAnsi"/>
          <w:sz w:val="24"/>
          <w:szCs w:val="24"/>
          <w:lang w:val="kk-KZ" w:eastAsia="ru-RU"/>
        </w:rPr>
      </w:pPr>
      <w:r>
        <w:rPr>
          <w:rFonts w:asciiTheme="minorHAnsi" w:hAnsiTheme="minorHAnsi"/>
          <w:sz w:val="24"/>
          <w:szCs w:val="24"/>
          <w:lang w:val="kk-KZ" w:eastAsia="ru-RU"/>
        </w:rPr>
        <w:t>2017 жылғы маусымда банктік емес заңды тұлғалардың ұлттық валютамен мерзімді депозиттері бойынша орташа алынған сыйақы мөлшерлемесі 8,2% (2016 жылғы желтоқсанда – 10,5%), жеке тұлғалардың депозиттері бойынша 12,4% (12,2%) деңгейінде қалыптасты.</w:t>
      </w:r>
    </w:p>
    <w:p w14:paraId="22AEF8C1" w14:textId="77777777" w:rsidR="00377F81" w:rsidRPr="00377F81" w:rsidRDefault="00377F81" w:rsidP="00377F81">
      <w:pPr>
        <w:spacing w:after="0" w:line="240" w:lineRule="auto"/>
        <w:ind w:firstLine="708"/>
        <w:jc w:val="both"/>
        <w:rPr>
          <w:b/>
          <w:sz w:val="24"/>
          <w:szCs w:val="24"/>
          <w:lang w:val="kk-KZ" w:eastAsia="ru-RU"/>
        </w:rPr>
      </w:pPr>
    </w:p>
    <w:p w14:paraId="2D89CDD8" w14:textId="77777777" w:rsidR="00377F81" w:rsidRPr="00377F81" w:rsidRDefault="00377F81" w:rsidP="00377F81">
      <w:pPr>
        <w:pStyle w:val="ac"/>
        <w:keepNext/>
        <w:numPr>
          <w:ilvl w:val="0"/>
          <w:numId w:val="8"/>
        </w:numPr>
        <w:tabs>
          <w:tab w:val="left" w:pos="1134"/>
        </w:tabs>
        <w:spacing w:after="0" w:line="240" w:lineRule="auto"/>
        <w:ind w:left="0" w:firstLine="709"/>
        <w:jc w:val="both"/>
        <w:rPr>
          <w:b/>
          <w:sz w:val="24"/>
          <w:szCs w:val="24"/>
          <w:lang w:val="kk-KZ"/>
        </w:rPr>
      </w:pPr>
      <w:r>
        <w:rPr>
          <w:rFonts w:asciiTheme="minorHAnsi" w:hAnsiTheme="minorHAnsi"/>
          <w:b/>
          <w:sz w:val="24"/>
          <w:szCs w:val="24"/>
          <w:lang w:val="kk-KZ"/>
        </w:rPr>
        <w:t>2017 жылғы маусымның соңындағы жағдай бойынша кредит нарығы</w:t>
      </w:r>
      <w:r>
        <w:rPr>
          <w:b/>
          <w:sz w:val="24"/>
          <w:szCs w:val="24"/>
          <w:lang w:val="kk-KZ"/>
        </w:rPr>
        <w:t xml:space="preserve">  </w:t>
      </w:r>
    </w:p>
    <w:p w14:paraId="1AAAA71F" w14:textId="77777777" w:rsidR="00377F81" w:rsidRPr="00377F81" w:rsidRDefault="00377F81" w:rsidP="00377F81">
      <w:pPr>
        <w:spacing w:after="0" w:line="240" w:lineRule="auto"/>
        <w:ind w:firstLine="708"/>
        <w:jc w:val="both"/>
        <w:rPr>
          <w:snapToGrid w:val="0"/>
          <w:sz w:val="24"/>
          <w:szCs w:val="24"/>
          <w:lang w:val="kk-KZ"/>
        </w:rPr>
      </w:pPr>
      <w:r>
        <w:rPr>
          <w:rFonts w:asciiTheme="minorHAnsi" w:hAnsiTheme="minorHAnsi"/>
          <w:color w:val="000000"/>
          <w:sz w:val="24"/>
          <w:szCs w:val="24"/>
          <w:lang w:val="kk-KZ" w:eastAsia="ru-RU"/>
        </w:rPr>
        <w:t xml:space="preserve">Банктердің экономиканы кредиттеуінің көлемі 2017 жылғы маусымның соңында бір ай ішінде </w:t>
      </w:r>
      <w:r>
        <w:rPr>
          <w:rFonts w:asciiTheme="minorHAnsi" w:hAnsiTheme="minorHAnsi"/>
          <w:snapToGrid w:val="0"/>
          <w:sz w:val="24"/>
          <w:szCs w:val="24"/>
          <w:lang w:val="kk-KZ"/>
        </w:rPr>
        <w:t>0,8</w:t>
      </w:r>
      <w:r>
        <w:rPr>
          <w:rFonts w:asciiTheme="minorHAnsi" w:hAnsiTheme="minorHAnsi"/>
          <w:sz w:val="24"/>
          <w:szCs w:val="24"/>
          <w:lang w:val="kk-KZ" w:eastAsia="ru-RU"/>
        </w:rPr>
        <w:t xml:space="preserve">%-ға ұлғайып, </w:t>
      </w:r>
      <w:r w:rsidRPr="00377F81">
        <w:rPr>
          <w:snapToGrid w:val="0"/>
          <w:sz w:val="24"/>
          <w:szCs w:val="24"/>
          <w:lang w:val="kk-KZ"/>
        </w:rPr>
        <w:t xml:space="preserve">12 701,6 </w:t>
      </w:r>
      <w:r>
        <w:rPr>
          <w:rFonts w:asciiTheme="minorHAnsi" w:eastAsia="Calibri" w:hAnsiTheme="minorHAnsi"/>
          <w:sz w:val="24"/>
          <w:szCs w:val="24"/>
          <w:lang w:val="kk-KZ"/>
        </w:rPr>
        <w:t>млрд. теңгені</w:t>
      </w:r>
      <w:r>
        <w:rPr>
          <w:rFonts w:asciiTheme="minorHAnsi" w:hAnsiTheme="minorHAnsi"/>
          <w:color w:val="000000"/>
          <w:sz w:val="24"/>
          <w:szCs w:val="24"/>
          <w:lang w:val="kk-KZ" w:eastAsia="ru-RU"/>
        </w:rPr>
        <w:t xml:space="preserve"> құрады. 2017 жылғы маусымда заңды тұлғаларға берілген кредиттердің көлемі </w:t>
      </w:r>
      <w:r>
        <w:rPr>
          <w:rFonts w:asciiTheme="minorHAnsi" w:hAnsiTheme="minorHAnsi"/>
          <w:snapToGrid w:val="0"/>
          <w:sz w:val="24"/>
          <w:szCs w:val="24"/>
          <w:lang w:val="kk-KZ"/>
        </w:rPr>
        <w:t xml:space="preserve">8 489,9 млрд. теңгеге дейін 0,2%-ға, жеке тұлғаларға берілген </w:t>
      </w:r>
      <w:r>
        <w:rPr>
          <w:rFonts w:asciiTheme="minorHAnsi" w:hAnsiTheme="minorHAnsi"/>
          <w:color w:val="000000"/>
          <w:sz w:val="24"/>
          <w:szCs w:val="24"/>
          <w:lang w:val="kk-KZ" w:eastAsia="ru-RU"/>
        </w:rPr>
        <w:t xml:space="preserve">кредиттер көлемі </w:t>
      </w:r>
      <w:r>
        <w:rPr>
          <w:rFonts w:asciiTheme="minorHAnsi" w:hAnsiTheme="minorHAnsi"/>
          <w:snapToGrid w:val="0"/>
          <w:sz w:val="24"/>
          <w:szCs w:val="24"/>
          <w:lang w:val="kk-KZ"/>
        </w:rPr>
        <w:t xml:space="preserve">4 211,7 </w:t>
      </w:r>
      <w:r>
        <w:rPr>
          <w:rFonts w:asciiTheme="minorHAnsi" w:hAnsiTheme="minorHAnsi"/>
          <w:sz w:val="24"/>
          <w:szCs w:val="24"/>
          <w:lang w:val="kk-KZ" w:eastAsia="ru-RU"/>
        </w:rPr>
        <w:t>млрд. теңгеге дейін 2,0</w:t>
      </w:r>
      <w:r>
        <w:rPr>
          <w:rFonts w:asciiTheme="minorHAnsi" w:hAnsiTheme="minorHAnsi"/>
          <w:snapToGrid w:val="0"/>
          <w:sz w:val="24"/>
          <w:szCs w:val="24"/>
          <w:lang w:val="kk-KZ"/>
        </w:rPr>
        <w:t>%</w:t>
      </w:r>
      <w:r>
        <w:rPr>
          <w:rFonts w:asciiTheme="minorHAnsi" w:hAnsiTheme="minorHAnsi"/>
          <w:sz w:val="24"/>
          <w:szCs w:val="24"/>
          <w:lang w:val="kk-KZ" w:eastAsia="ru-RU"/>
        </w:rPr>
        <w:t xml:space="preserve">-ға ұлғайды. </w:t>
      </w:r>
    </w:p>
    <w:p w14:paraId="1FDA06F6" w14:textId="77777777" w:rsidR="00377F81" w:rsidRDefault="00377F81" w:rsidP="00377F81">
      <w:pPr>
        <w:spacing w:after="0" w:line="240" w:lineRule="auto"/>
        <w:ind w:firstLine="708"/>
        <w:jc w:val="both"/>
        <w:rPr>
          <w:snapToGrid w:val="0"/>
          <w:sz w:val="24"/>
          <w:szCs w:val="24"/>
          <w:lang w:val="kk-KZ"/>
        </w:rPr>
      </w:pPr>
      <w:r>
        <w:rPr>
          <w:rFonts w:asciiTheme="minorHAnsi" w:hAnsiTheme="minorHAnsi"/>
          <w:snapToGrid w:val="0"/>
          <w:sz w:val="24"/>
          <w:szCs w:val="24"/>
          <w:lang w:val="kk-KZ"/>
        </w:rPr>
        <w:t xml:space="preserve">Ұлттық валютамен берілген кредиттердің көлемі бір айда </w:t>
      </w:r>
      <w:r w:rsidRPr="00377F81">
        <w:rPr>
          <w:snapToGrid w:val="0"/>
          <w:sz w:val="24"/>
          <w:szCs w:val="24"/>
          <w:lang w:val="kk-KZ"/>
        </w:rPr>
        <w:t xml:space="preserve">9 034,8 </w:t>
      </w:r>
      <w:r>
        <w:rPr>
          <w:rFonts w:asciiTheme="minorHAnsi" w:hAnsiTheme="minorHAnsi"/>
          <w:snapToGrid w:val="0"/>
          <w:sz w:val="24"/>
          <w:szCs w:val="24"/>
          <w:lang w:val="kk-KZ"/>
        </w:rPr>
        <w:t xml:space="preserve">млрд. теңгеге дейін 1,5%-ға ұлғайды. Олардың құрылымында заңды тұлғаларға берілген кредиттер 1,0%-ға, ал жеке тұлғаларға берілген кредиттер 2,2%-ға өсті. Шетел валютасымен берілген кредиттердің көлемі </w:t>
      </w:r>
      <w:r>
        <w:rPr>
          <w:snapToGrid w:val="0"/>
          <w:sz w:val="24"/>
          <w:szCs w:val="24"/>
          <w:lang w:val="kk-KZ"/>
        </w:rPr>
        <w:t xml:space="preserve">3 666,9 </w:t>
      </w:r>
      <w:r>
        <w:rPr>
          <w:rFonts w:asciiTheme="minorHAnsi" w:hAnsiTheme="minorHAnsi"/>
          <w:snapToGrid w:val="0"/>
          <w:sz w:val="24"/>
          <w:szCs w:val="24"/>
          <w:lang w:val="kk-KZ"/>
        </w:rPr>
        <w:t>млрд. теңгеге дейін 1,0%-ға қысқарды, оның ішінде заңды тұлғаларға берілген кредиттер 1,1%-ға, жеке тұлғаларға берілген кредиттер 0,3%-ға төмендеді. Теңгемен берілген кредиттердің үлес салмағы бір айда 70,6%-дан 71,1%-ға дейін ұлғайды.</w:t>
      </w:r>
      <w:r>
        <w:rPr>
          <w:snapToGrid w:val="0"/>
          <w:sz w:val="24"/>
          <w:szCs w:val="24"/>
          <w:lang w:val="kk-KZ"/>
        </w:rPr>
        <w:t xml:space="preserve"> </w:t>
      </w:r>
    </w:p>
    <w:p w14:paraId="0A49D5C6" w14:textId="77777777" w:rsidR="00377F81" w:rsidRDefault="00377F81" w:rsidP="00377F81">
      <w:pPr>
        <w:spacing w:after="0" w:line="240" w:lineRule="auto"/>
        <w:ind w:firstLine="709"/>
        <w:jc w:val="both"/>
        <w:rPr>
          <w:rFonts w:asciiTheme="minorHAnsi" w:hAnsiTheme="minorHAnsi"/>
          <w:snapToGrid w:val="0"/>
          <w:sz w:val="24"/>
          <w:szCs w:val="24"/>
          <w:lang w:val="kk-KZ"/>
        </w:rPr>
      </w:pPr>
      <w:r>
        <w:rPr>
          <w:rFonts w:asciiTheme="minorHAnsi" w:hAnsiTheme="minorHAnsi"/>
          <w:snapToGrid w:val="0"/>
          <w:sz w:val="24"/>
          <w:szCs w:val="24"/>
          <w:lang w:val="kk-KZ"/>
        </w:rPr>
        <w:t>Ұзақ мерзімді кредиттер көлемі 2017 жылғы маусымның соңында 10 677,7 млрд. теңгеге дейін 1,1%-ға ұлғайды, қысқа мерзімді кредиттер көлемі 2 023,9 млрд. теңгеге дейін 1,2%-ға төмендеді.</w:t>
      </w:r>
    </w:p>
    <w:p w14:paraId="4D9ACE91" w14:textId="49872C43" w:rsidR="00377F81" w:rsidRDefault="00377F81" w:rsidP="00377F81">
      <w:pPr>
        <w:autoSpaceDE w:val="0"/>
        <w:autoSpaceDN w:val="0"/>
        <w:adjustRightInd w:val="0"/>
        <w:spacing w:after="0" w:line="240" w:lineRule="auto"/>
        <w:ind w:firstLine="709"/>
        <w:jc w:val="both"/>
        <w:rPr>
          <w:rFonts w:asciiTheme="minorHAnsi" w:hAnsiTheme="minorHAnsi"/>
          <w:color w:val="000000"/>
          <w:sz w:val="24"/>
          <w:szCs w:val="24"/>
          <w:lang w:val="kk-KZ" w:eastAsia="ru-RU"/>
        </w:rPr>
      </w:pPr>
      <w:r>
        <w:rPr>
          <w:rFonts w:asciiTheme="minorHAnsi" w:hAnsiTheme="minorHAnsi"/>
          <w:color w:val="000000"/>
          <w:sz w:val="24"/>
          <w:szCs w:val="24"/>
          <w:lang w:val="kk-KZ" w:eastAsia="ru-RU"/>
        </w:rPr>
        <w:t xml:space="preserve">Шағын кәсіпкерлік субъектілерін кредиттеу 2017 жылғы маусымда </w:t>
      </w:r>
      <w:r>
        <w:rPr>
          <w:rFonts w:asciiTheme="minorHAnsi" w:hAnsiTheme="minorHAnsi"/>
          <w:snapToGrid w:val="0"/>
          <w:sz w:val="24"/>
          <w:szCs w:val="24"/>
          <w:lang w:val="kk-KZ"/>
        </w:rPr>
        <w:t>3 110,1 млрд. теңгеге дейін 2,2%</w:t>
      </w:r>
      <w:r>
        <w:rPr>
          <w:rFonts w:asciiTheme="minorHAnsi" w:hAnsiTheme="minorHAnsi"/>
          <w:sz w:val="24"/>
          <w:szCs w:val="24"/>
          <w:lang w:val="kk-KZ" w:eastAsia="ru-RU"/>
        </w:rPr>
        <w:t>-</w:t>
      </w:r>
      <w:r>
        <w:rPr>
          <w:rFonts w:asciiTheme="minorHAnsi" w:hAnsiTheme="minorHAnsi"/>
          <w:color w:val="000000"/>
          <w:sz w:val="24"/>
          <w:szCs w:val="24"/>
          <w:lang w:val="kk-KZ" w:eastAsia="ru-RU"/>
        </w:rPr>
        <w:t xml:space="preserve">ға </w:t>
      </w:r>
      <w:r>
        <w:rPr>
          <w:rFonts w:asciiTheme="minorHAnsi" w:hAnsiTheme="minorHAnsi"/>
          <w:snapToGrid w:val="0"/>
          <w:sz w:val="24"/>
          <w:szCs w:val="24"/>
          <w:lang w:val="kk-KZ"/>
        </w:rPr>
        <w:t>(экономикаға берілген кредиттердің жалпы көлемін</w:t>
      </w:r>
      <w:r w:rsidR="003B751F">
        <w:rPr>
          <w:rFonts w:asciiTheme="minorHAnsi" w:hAnsiTheme="minorHAnsi"/>
          <w:snapToGrid w:val="0"/>
          <w:sz w:val="24"/>
          <w:szCs w:val="24"/>
          <w:lang w:val="kk-KZ"/>
        </w:rPr>
        <w:t>ің</w:t>
      </w:r>
      <w:r>
        <w:rPr>
          <w:rFonts w:asciiTheme="minorHAnsi" w:hAnsiTheme="minorHAnsi"/>
          <w:snapToGrid w:val="0"/>
          <w:sz w:val="24"/>
          <w:szCs w:val="24"/>
          <w:lang w:val="kk-KZ"/>
        </w:rPr>
        <w:t xml:space="preserve"> 24,5</w:t>
      </w:r>
      <w:r>
        <w:rPr>
          <w:rFonts w:asciiTheme="minorHAnsi" w:hAnsiTheme="minorHAnsi"/>
          <w:color w:val="000000"/>
          <w:sz w:val="24"/>
          <w:szCs w:val="24"/>
          <w:lang w:val="kk-KZ" w:eastAsia="ru-RU"/>
        </w:rPr>
        <w:t>%</w:t>
      </w:r>
      <w:r w:rsidR="003B751F">
        <w:rPr>
          <w:rFonts w:asciiTheme="minorHAnsi" w:hAnsiTheme="minorHAnsi"/>
          <w:color w:val="000000"/>
          <w:sz w:val="24"/>
          <w:szCs w:val="24"/>
          <w:lang w:val="kk-KZ" w:eastAsia="ru-RU"/>
        </w:rPr>
        <w:t>-ы</w:t>
      </w:r>
      <w:r>
        <w:rPr>
          <w:rFonts w:asciiTheme="minorHAnsi" w:hAnsiTheme="minorHAnsi"/>
          <w:snapToGrid w:val="0"/>
          <w:sz w:val="24"/>
          <w:szCs w:val="24"/>
          <w:lang w:val="kk-KZ"/>
        </w:rPr>
        <w:t xml:space="preserve">) </w:t>
      </w:r>
      <w:r>
        <w:rPr>
          <w:rFonts w:asciiTheme="minorHAnsi" w:hAnsiTheme="minorHAnsi"/>
          <w:color w:val="000000"/>
          <w:sz w:val="24"/>
          <w:szCs w:val="24"/>
          <w:lang w:val="kk-KZ" w:eastAsia="ru-RU"/>
        </w:rPr>
        <w:t>ұлғайды.</w:t>
      </w:r>
    </w:p>
    <w:p w14:paraId="46F36F03" w14:textId="77777777" w:rsidR="00377F81" w:rsidRDefault="00377F81" w:rsidP="00377F81">
      <w:pPr>
        <w:autoSpaceDE w:val="0"/>
        <w:autoSpaceDN w:val="0"/>
        <w:adjustRightInd w:val="0"/>
        <w:spacing w:after="0" w:line="240" w:lineRule="auto"/>
        <w:ind w:firstLine="709"/>
        <w:jc w:val="both"/>
        <w:rPr>
          <w:rFonts w:asciiTheme="minorHAnsi" w:hAnsiTheme="minorHAnsi"/>
          <w:color w:val="000000"/>
          <w:sz w:val="24"/>
          <w:szCs w:val="24"/>
          <w:lang w:val="kk-KZ" w:eastAsia="ru-RU"/>
        </w:rPr>
      </w:pPr>
      <w:r>
        <w:rPr>
          <w:rFonts w:asciiTheme="minorHAnsi" w:hAnsiTheme="minorHAnsi"/>
          <w:color w:val="000000"/>
          <w:sz w:val="24"/>
          <w:szCs w:val="24"/>
          <w:lang w:val="kk-KZ" w:eastAsia="ru-RU"/>
        </w:rPr>
        <w:t xml:space="preserve">Салалар бойынша банктердің экономикаға берген кредиттерінің ең қомақты сомасы сауда (жалпы көлемдегі үлесі – 19,0%), өнеркәсіп (13,9%), құрылыс (7,7%), ауыл шаруашылығы (5,9%) және көлік  (4,6%) сияқты салаларға тиесілі. </w:t>
      </w:r>
    </w:p>
    <w:p w14:paraId="03F693DF" w14:textId="77777777" w:rsidR="00377F81" w:rsidRPr="00377F81" w:rsidRDefault="00377F81" w:rsidP="00377F81">
      <w:pPr>
        <w:spacing w:after="0" w:line="240" w:lineRule="auto"/>
        <w:ind w:firstLine="708"/>
        <w:jc w:val="both"/>
        <w:rPr>
          <w:snapToGrid w:val="0"/>
          <w:sz w:val="24"/>
          <w:szCs w:val="24"/>
          <w:lang w:val="kk-KZ"/>
        </w:rPr>
      </w:pPr>
      <w:r>
        <w:rPr>
          <w:rFonts w:asciiTheme="minorHAnsi" w:hAnsiTheme="minorHAnsi"/>
          <w:color w:val="000000"/>
          <w:sz w:val="24"/>
          <w:szCs w:val="24"/>
          <w:lang w:val="kk-KZ" w:eastAsia="ru-RU"/>
        </w:rPr>
        <w:t>2017 жылғы маусымда банктік емес заңды тұлғаларға ұлттық валютамен берілген кредиттер бойынша орташа алынған сыйақы мөлшерлемесі 14,0% (2016 жылғы желтоқсанда – 14,5</w:t>
      </w:r>
      <w:r>
        <w:rPr>
          <w:rFonts w:asciiTheme="minorHAnsi" w:hAnsiTheme="minorHAnsi"/>
          <w:sz w:val="24"/>
          <w:szCs w:val="24"/>
          <w:lang w:val="kk-KZ" w:eastAsia="ru-RU"/>
        </w:rPr>
        <w:t>%)</w:t>
      </w:r>
      <w:r>
        <w:rPr>
          <w:rFonts w:asciiTheme="minorHAnsi" w:hAnsiTheme="minorHAnsi"/>
          <w:color w:val="000000"/>
          <w:sz w:val="24"/>
          <w:szCs w:val="24"/>
          <w:lang w:val="kk-KZ" w:eastAsia="ru-RU"/>
        </w:rPr>
        <w:t>,  жеке тұлғаларға берілген кредиттер бойынша орташа алынған сыйақы мөлшерлемесі 18,6% (18,4</w:t>
      </w:r>
      <w:r>
        <w:rPr>
          <w:rFonts w:asciiTheme="minorHAnsi" w:hAnsiTheme="minorHAnsi"/>
          <w:sz w:val="24"/>
          <w:szCs w:val="24"/>
          <w:lang w:val="kk-KZ" w:eastAsia="ru-RU"/>
        </w:rPr>
        <w:t xml:space="preserve">%) болды. </w:t>
      </w:r>
    </w:p>
    <w:p w14:paraId="259373F5" w14:textId="77777777" w:rsidR="00377F81" w:rsidRPr="00377F81" w:rsidRDefault="00377F81" w:rsidP="00377F81">
      <w:pPr>
        <w:spacing w:after="0" w:line="240" w:lineRule="auto"/>
        <w:ind w:firstLine="708"/>
        <w:jc w:val="both"/>
        <w:rPr>
          <w:snapToGrid w:val="0"/>
          <w:sz w:val="24"/>
          <w:szCs w:val="24"/>
          <w:lang w:val="kk-KZ"/>
        </w:rPr>
      </w:pPr>
    </w:p>
    <w:p w14:paraId="24D43C59" w14:textId="77777777" w:rsidR="00377F81" w:rsidRDefault="00377F81" w:rsidP="00377F81">
      <w:pPr>
        <w:pStyle w:val="ac"/>
        <w:keepNext/>
        <w:numPr>
          <w:ilvl w:val="0"/>
          <w:numId w:val="8"/>
        </w:numPr>
        <w:tabs>
          <w:tab w:val="left" w:pos="1134"/>
        </w:tabs>
        <w:spacing w:after="0" w:line="240" w:lineRule="auto"/>
        <w:ind w:left="0" w:firstLine="709"/>
        <w:jc w:val="both"/>
        <w:rPr>
          <w:b/>
          <w:sz w:val="24"/>
          <w:szCs w:val="24"/>
        </w:rPr>
      </w:pPr>
      <w:r>
        <w:rPr>
          <w:rFonts w:asciiTheme="minorHAnsi" w:hAnsiTheme="minorHAnsi"/>
          <w:b/>
          <w:sz w:val="24"/>
          <w:szCs w:val="24"/>
          <w:lang w:val="kk-KZ"/>
        </w:rPr>
        <w:t>2017 жылғы маусымның соңындағы төлем жүйелері</w:t>
      </w:r>
    </w:p>
    <w:p w14:paraId="743492CB" w14:textId="77777777" w:rsidR="00481D5F" w:rsidRPr="00481D5F" w:rsidRDefault="00377F81" w:rsidP="00481D5F">
      <w:pPr>
        <w:spacing w:after="0" w:line="240" w:lineRule="auto"/>
        <w:ind w:firstLine="708"/>
        <w:jc w:val="both"/>
        <w:rPr>
          <w:snapToGrid w:val="0"/>
          <w:sz w:val="24"/>
          <w:szCs w:val="24"/>
          <w:lang w:val="kk-KZ"/>
        </w:rPr>
      </w:pPr>
      <w:r>
        <w:rPr>
          <w:snapToGrid w:val="0"/>
          <w:sz w:val="24"/>
          <w:szCs w:val="24"/>
          <w:lang w:val="kk-KZ"/>
        </w:rPr>
        <w:t xml:space="preserve">2017 </w:t>
      </w:r>
      <w:r w:rsidR="00481D5F" w:rsidRPr="00481D5F">
        <w:rPr>
          <w:snapToGrid w:val="0"/>
          <w:sz w:val="24"/>
          <w:szCs w:val="24"/>
          <w:lang w:val="kk-KZ"/>
        </w:rPr>
        <w:t xml:space="preserve">жылғы 1 шілдедегі жағдай бойынша Қазақстан Республикасының аумағында 19 төлем жүйесі, оның ішінде Ұлттық Банктің төлем жүйелері, ақша аудару жүйелері, төлем карточкаларының жүйелері мен өзге де төлем жүйелері жұмыс істейді.   </w:t>
      </w:r>
    </w:p>
    <w:p w14:paraId="1FF064B8" w14:textId="77777777" w:rsidR="00481D5F" w:rsidRPr="00481D5F" w:rsidRDefault="00481D5F" w:rsidP="00481D5F">
      <w:pPr>
        <w:spacing w:after="0" w:line="240" w:lineRule="auto"/>
        <w:ind w:firstLine="708"/>
        <w:jc w:val="both"/>
        <w:rPr>
          <w:snapToGrid w:val="0"/>
          <w:sz w:val="24"/>
          <w:szCs w:val="24"/>
          <w:lang w:val="kk-KZ"/>
        </w:rPr>
      </w:pPr>
      <w:r w:rsidRPr="00481D5F">
        <w:rPr>
          <w:snapToGrid w:val="0"/>
          <w:sz w:val="24"/>
          <w:szCs w:val="24"/>
          <w:lang w:val="kk-KZ"/>
        </w:rPr>
        <w:t xml:space="preserve">2017 жылғы қаңтар-маусымда Ұлттық Банктің төлем жүйелері (Банкаралық ақша аудару жүйесі мен Банкаралық клиринг жүйесі) арқылы 418 948,9 млрд. теңге сомасына 16,7 млн. транзакция жүргізілді. 2016 жылғы ұқсас кезеңмен салыстырғанда аталған төлем жүйелеріндегі төлемдердің саны 3,6%-ға азайды, төлемдер сомасы 56,1%-ға  ұлғайды. Орташа алғанда, бір күн ішінде Ұлттық Банктің төлем жүйелері арқылы 3 462,4 млрд. теңге сомасына 137,7 мың транзакция жүргізіледі. </w:t>
      </w:r>
    </w:p>
    <w:p w14:paraId="64549AC4" w14:textId="77777777" w:rsidR="00481D5F" w:rsidRPr="00481D5F" w:rsidRDefault="00481D5F" w:rsidP="00481D5F">
      <w:pPr>
        <w:spacing w:after="0" w:line="240" w:lineRule="auto"/>
        <w:ind w:firstLine="708"/>
        <w:jc w:val="both"/>
        <w:rPr>
          <w:snapToGrid w:val="0"/>
          <w:sz w:val="24"/>
          <w:szCs w:val="24"/>
          <w:lang w:val="kk-KZ"/>
        </w:rPr>
      </w:pPr>
      <w:r w:rsidRPr="00481D5F">
        <w:rPr>
          <w:snapToGrid w:val="0"/>
          <w:sz w:val="24"/>
          <w:szCs w:val="24"/>
          <w:lang w:val="kk-KZ"/>
        </w:rPr>
        <w:lastRenderedPageBreak/>
        <w:t>2017 жылғы қаңтар-маусымда жеке ақша аудару жүйелері арқылы 213,1 млрд. теңге сомасына 1,3 млн. транзакция жүргізілді (жөнелтілді), 2016 жылдың ұқсас кезеңімен салыстырғанда ақша аудару көлемдері 24%-ға өсті. Көптеген жағдайда, ақша аудару жүйелерін ел тұрғындары Қазақстанның шегінен тыс жерлерге ақша аудару үшін пайдаланады: шетелге жіберілген төлемдер мен ақша аудару үлесі транзакция жүйелері арқылы жіберілген жалпы мөлшердің 95,4%-ын (1,2 млн. транзакцияны) және жалпы соманың 91,1%-ын (203,3 млрд. теңгені) құрады.</w:t>
      </w:r>
    </w:p>
    <w:p w14:paraId="1CC24CB0" w14:textId="77777777" w:rsidR="00481D5F" w:rsidRPr="00481D5F" w:rsidRDefault="00481D5F" w:rsidP="00481D5F">
      <w:pPr>
        <w:spacing w:after="0" w:line="240" w:lineRule="auto"/>
        <w:ind w:firstLine="708"/>
        <w:jc w:val="both"/>
        <w:rPr>
          <w:snapToGrid w:val="0"/>
          <w:sz w:val="24"/>
          <w:szCs w:val="24"/>
          <w:lang w:val="kk-KZ"/>
        </w:rPr>
      </w:pPr>
      <w:r w:rsidRPr="00481D5F">
        <w:rPr>
          <w:snapToGrid w:val="0"/>
          <w:sz w:val="24"/>
          <w:szCs w:val="24"/>
          <w:lang w:val="kk-KZ"/>
        </w:rPr>
        <w:t xml:space="preserve">2017 жылғы қаңтар-маусымда қазақстандық эмитенттердің төлем карточкаларын пайдалан отырып жүргізілген операциялардың көлемі 6,1 трлн. теңге сомасына 204,8 млн. транзакцияны құрады (2016 жылғы осыған ұқсас кезеңмен салыстырғанда транзакциялар саны 31,8%-ға, ал сомасы – 26,6%-ға ұлғайды). 2016 жылдың осындай кезеңімен салыстырғанда қазақстандық эмитенттердің төлем карточкаларын пайдалана отырып жүргізілген операциялардың жалпы құрылымында қолма-қол ақшасыз жасалған төлемдер саны 34,8%-дан 44,7%-ға дейін өсті, операциялар көлемінің үлесі 14,6%-дан 18,7%-ға өсті. </w:t>
      </w:r>
    </w:p>
    <w:p w14:paraId="6504BC99" w14:textId="77777777" w:rsidR="00481D5F" w:rsidRPr="00481D5F" w:rsidRDefault="00481D5F" w:rsidP="00481D5F">
      <w:pPr>
        <w:spacing w:after="0" w:line="240" w:lineRule="auto"/>
        <w:ind w:firstLine="708"/>
        <w:jc w:val="both"/>
        <w:rPr>
          <w:snapToGrid w:val="0"/>
          <w:sz w:val="24"/>
          <w:szCs w:val="24"/>
          <w:lang w:val="kk-KZ"/>
        </w:rPr>
      </w:pPr>
      <w:r w:rsidRPr="00481D5F">
        <w:rPr>
          <w:snapToGrid w:val="0"/>
          <w:sz w:val="24"/>
          <w:szCs w:val="24"/>
          <w:lang w:val="kk-KZ"/>
        </w:rPr>
        <w:t xml:space="preserve">Бұл ретте, 2017 жылғы 1 шілдедегі жағдай бойынша Қазақстан Республикасында төлем карточкаларының шығарылымын 25 банк пен «Қазпочта» АҚ жүзеге асырды, шығарылған және таратылған төлем карточкаларының жалпы саны 16,7 млн. бірлікті құрады. </w:t>
      </w:r>
    </w:p>
    <w:p w14:paraId="4EFE2358" w14:textId="5E8255DB" w:rsidR="00377F81" w:rsidRDefault="00481D5F" w:rsidP="00481D5F">
      <w:pPr>
        <w:spacing w:after="0" w:line="240" w:lineRule="auto"/>
        <w:ind w:firstLine="708"/>
        <w:jc w:val="both"/>
        <w:rPr>
          <w:snapToGrid w:val="0"/>
          <w:sz w:val="24"/>
          <w:szCs w:val="24"/>
          <w:lang w:val="kk-KZ"/>
        </w:rPr>
      </w:pPr>
      <w:r w:rsidRPr="00481D5F">
        <w:rPr>
          <w:snapToGrid w:val="0"/>
          <w:sz w:val="24"/>
          <w:szCs w:val="24"/>
          <w:lang w:val="kk-KZ"/>
        </w:rPr>
        <w:t>2017 жылғы 1 шілдедегі жағдай бойынша төлем карточкаларына қызмет көрсету желісі мынадай: 9,7 мың банкомат, 120,8 мың POS-терминал, 968 банк дүңгіршегі.  2017 жылғы 1 шілдеде Қазақстанда төлем карточкалар арқылы төлемді қабылдайтын 73,2 мың сауда кәсіпорындары жұмыс істеді, бұл олардың 2016 жылғы 1 шілдедегі санынан 29%-ға асып кетті</w:t>
      </w:r>
      <w:r>
        <w:rPr>
          <w:snapToGrid w:val="0"/>
          <w:sz w:val="24"/>
          <w:szCs w:val="24"/>
          <w:lang w:val="kk-KZ"/>
        </w:rPr>
        <w:t>.</w:t>
      </w:r>
    </w:p>
    <w:p w14:paraId="069ED378" w14:textId="77777777" w:rsidR="00377F81" w:rsidRDefault="00377F81" w:rsidP="00377F81">
      <w:pPr>
        <w:spacing w:after="0" w:line="240" w:lineRule="auto"/>
        <w:ind w:firstLine="708"/>
        <w:jc w:val="both"/>
        <w:rPr>
          <w:snapToGrid w:val="0"/>
          <w:sz w:val="24"/>
          <w:szCs w:val="24"/>
          <w:lang w:val="kk-KZ"/>
        </w:rPr>
      </w:pPr>
    </w:p>
    <w:p w14:paraId="162356AC" w14:textId="77777777" w:rsidR="00377F81" w:rsidRDefault="00377F81" w:rsidP="00377F81">
      <w:pPr>
        <w:pStyle w:val="ac"/>
        <w:keepNext/>
        <w:numPr>
          <w:ilvl w:val="0"/>
          <w:numId w:val="8"/>
        </w:numPr>
        <w:tabs>
          <w:tab w:val="left" w:pos="1134"/>
        </w:tabs>
        <w:spacing w:after="0" w:line="240" w:lineRule="auto"/>
        <w:ind w:left="0" w:firstLine="709"/>
        <w:jc w:val="both"/>
        <w:rPr>
          <w:b/>
          <w:sz w:val="24"/>
          <w:szCs w:val="24"/>
        </w:rPr>
      </w:pPr>
      <w:r>
        <w:rPr>
          <w:rFonts w:asciiTheme="minorHAnsi" w:hAnsiTheme="minorHAnsi"/>
          <w:b/>
          <w:sz w:val="24"/>
          <w:szCs w:val="24"/>
          <w:lang w:val="kk-KZ"/>
        </w:rPr>
        <w:t>2017 жылғы маусымдағы б</w:t>
      </w:r>
      <w:r>
        <w:rPr>
          <w:rFonts w:asciiTheme="minorHAnsi" w:hAnsiTheme="minorHAnsi"/>
          <w:b/>
          <w:sz w:val="24"/>
          <w:szCs w:val="24"/>
        </w:rPr>
        <w:t>анк сектор</w:t>
      </w:r>
      <w:r>
        <w:rPr>
          <w:rFonts w:asciiTheme="minorHAnsi" w:hAnsiTheme="minorHAnsi"/>
          <w:b/>
          <w:sz w:val="24"/>
          <w:szCs w:val="24"/>
          <w:lang w:val="kk-KZ"/>
        </w:rPr>
        <w:t>ы</w:t>
      </w:r>
      <w:r>
        <w:rPr>
          <w:b/>
          <w:sz w:val="24"/>
          <w:szCs w:val="24"/>
          <w:lang w:val="kk-KZ"/>
        </w:rPr>
        <w:t xml:space="preserve">   </w:t>
      </w:r>
    </w:p>
    <w:p w14:paraId="64C0C12D" w14:textId="77777777" w:rsidR="00377F81" w:rsidRDefault="00377F81" w:rsidP="00377F81">
      <w:pPr>
        <w:spacing w:after="0" w:line="240" w:lineRule="auto"/>
        <w:ind w:firstLine="708"/>
        <w:jc w:val="both"/>
        <w:rPr>
          <w:snapToGrid w:val="0"/>
          <w:sz w:val="24"/>
          <w:szCs w:val="24"/>
        </w:rPr>
      </w:pPr>
      <w:r>
        <w:rPr>
          <w:rFonts w:asciiTheme="minorHAnsi" w:hAnsiTheme="minorHAnsi"/>
          <w:sz w:val="24"/>
          <w:szCs w:val="24"/>
          <w:lang w:val="kk-KZ" w:eastAsia="ru-RU"/>
        </w:rPr>
        <w:t>2017 жылғы 1 шілдедегі жағдай бойынша Қазақстан Республикасының банк секторын 33 банк құрайды</w:t>
      </w:r>
      <w:r>
        <w:rPr>
          <w:snapToGrid w:val="0"/>
          <w:sz w:val="24"/>
          <w:szCs w:val="24"/>
        </w:rPr>
        <w:t xml:space="preserve">. </w:t>
      </w:r>
    </w:p>
    <w:p w14:paraId="51BFBA22" w14:textId="77777777" w:rsidR="00377F81" w:rsidRDefault="00377F81" w:rsidP="00377F81">
      <w:pPr>
        <w:spacing w:after="0" w:line="240" w:lineRule="auto"/>
        <w:ind w:firstLine="708"/>
        <w:jc w:val="both"/>
        <w:rPr>
          <w:rFonts w:asciiTheme="minorHAnsi" w:hAnsiTheme="minorHAnsi"/>
          <w:sz w:val="24"/>
          <w:szCs w:val="24"/>
          <w:lang w:val="kk-KZ" w:eastAsia="ru-RU"/>
        </w:rPr>
      </w:pPr>
      <w:r>
        <w:rPr>
          <w:rFonts w:asciiTheme="minorHAnsi" w:hAnsiTheme="minorHAnsi"/>
          <w:sz w:val="24"/>
          <w:szCs w:val="24"/>
          <w:lang w:val="kk-KZ" w:eastAsia="ru-RU"/>
        </w:rPr>
        <w:t xml:space="preserve">Банк секторының жиынтық активтері 2017 жылғы 1 шілдеде ағымдағы жылдың басынан бастап </w:t>
      </w:r>
      <w:r>
        <w:rPr>
          <w:rFonts w:asciiTheme="minorHAnsi" w:hAnsiTheme="minorHAnsi"/>
          <w:snapToGrid w:val="0"/>
          <w:sz w:val="24"/>
          <w:szCs w:val="24"/>
          <w:lang w:val="kk-KZ"/>
        </w:rPr>
        <w:t>1,6%</w:t>
      </w:r>
      <w:r>
        <w:rPr>
          <w:rFonts w:asciiTheme="minorHAnsi" w:hAnsiTheme="minorHAnsi"/>
          <w:sz w:val="24"/>
          <w:szCs w:val="24"/>
          <w:lang w:val="kk-KZ" w:eastAsia="ru-RU"/>
        </w:rPr>
        <w:t xml:space="preserve">-ға төмендеп, </w:t>
      </w:r>
      <w:r>
        <w:rPr>
          <w:rFonts w:asciiTheme="minorHAnsi" w:hAnsiTheme="minorHAnsi"/>
          <w:snapToGrid w:val="0"/>
          <w:sz w:val="24"/>
          <w:szCs w:val="24"/>
          <w:lang w:val="kk-KZ"/>
        </w:rPr>
        <w:t xml:space="preserve">25 141,6 </w:t>
      </w:r>
      <w:r>
        <w:rPr>
          <w:rFonts w:asciiTheme="minorHAnsi" w:hAnsiTheme="minorHAnsi"/>
          <w:sz w:val="24"/>
          <w:szCs w:val="24"/>
          <w:lang w:val="kk-KZ" w:eastAsia="ru-RU"/>
        </w:rPr>
        <w:t xml:space="preserve">млрд. теңгені құрады. Активтердің құрылымында ең көп үлесті </w:t>
      </w:r>
      <w:r>
        <w:rPr>
          <w:rFonts w:asciiTheme="minorHAnsi" w:hAnsiTheme="minorHAnsi"/>
          <w:snapToGrid w:val="0"/>
          <w:sz w:val="24"/>
          <w:szCs w:val="24"/>
          <w:lang w:val="kk-KZ"/>
        </w:rPr>
        <w:t xml:space="preserve">кредиттер – 57,7%, бағалы қағаздар портфелі – 13,3%, қолма-қол ақша, тазартылған бағалы металдар мен корреспонденттік шоттар – 11,6% иеленді. </w:t>
      </w:r>
    </w:p>
    <w:p w14:paraId="43547B93" w14:textId="4325B305" w:rsidR="00377F81" w:rsidRDefault="00377F81" w:rsidP="00377F81">
      <w:pPr>
        <w:spacing w:after="0" w:line="240" w:lineRule="auto"/>
        <w:ind w:firstLine="708"/>
        <w:jc w:val="both"/>
        <w:rPr>
          <w:rFonts w:asciiTheme="minorHAnsi" w:hAnsiTheme="minorHAnsi"/>
          <w:snapToGrid w:val="0"/>
          <w:sz w:val="24"/>
          <w:szCs w:val="24"/>
          <w:lang w:val="kk-KZ"/>
        </w:rPr>
      </w:pPr>
      <w:r>
        <w:rPr>
          <w:rFonts w:asciiTheme="minorHAnsi" w:hAnsiTheme="minorHAnsi"/>
          <w:sz w:val="24"/>
          <w:szCs w:val="24"/>
          <w:lang w:val="kk-KZ" w:eastAsia="ru-RU"/>
        </w:rPr>
        <w:t xml:space="preserve">90 күннен астам мерзімі өткен берешегі бар кредиттердің </w:t>
      </w:r>
      <w:r>
        <w:rPr>
          <w:rFonts w:asciiTheme="minorHAnsi" w:hAnsiTheme="minorHAnsi"/>
          <w:snapToGrid w:val="0"/>
          <w:sz w:val="24"/>
          <w:szCs w:val="24"/>
          <w:lang w:val="kk-KZ"/>
        </w:rPr>
        <w:t xml:space="preserve">(NPL) </w:t>
      </w:r>
      <w:r>
        <w:rPr>
          <w:rFonts w:asciiTheme="minorHAnsi" w:hAnsiTheme="minorHAnsi"/>
          <w:sz w:val="24"/>
          <w:szCs w:val="24"/>
          <w:lang w:val="kk-KZ" w:eastAsia="ru-RU"/>
        </w:rPr>
        <w:t xml:space="preserve">көлемі </w:t>
      </w:r>
      <w:r>
        <w:rPr>
          <w:rFonts w:asciiTheme="minorHAnsi" w:hAnsiTheme="minorHAnsi"/>
          <w:snapToGrid w:val="0"/>
          <w:sz w:val="24"/>
          <w:szCs w:val="24"/>
          <w:lang w:val="kk-KZ"/>
        </w:rPr>
        <w:t xml:space="preserve"> 1 663,0 млрд. теңгені немесе </w:t>
      </w:r>
      <w:r>
        <w:rPr>
          <w:rFonts w:asciiTheme="minorHAnsi" w:hAnsiTheme="minorHAnsi"/>
          <w:sz w:val="24"/>
          <w:szCs w:val="24"/>
          <w:lang w:val="kk-KZ" w:eastAsia="ru-RU"/>
        </w:rPr>
        <w:t>несие портфелін</w:t>
      </w:r>
      <w:r w:rsidR="00937F34">
        <w:rPr>
          <w:rFonts w:asciiTheme="minorHAnsi" w:hAnsiTheme="minorHAnsi"/>
          <w:sz w:val="24"/>
          <w:szCs w:val="24"/>
          <w:lang w:val="kk-KZ" w:eastAsia="ru-RU"/>
        </w:rPr>
        <w:t>ің</w:t>
      </w:r>
      <w:r>
        <w:rPr>
          <w:rFonts w:asciiTheme="minorHAnsi" w:hAnsiTheme="minorHAnsi"/>
          <w:sz w:val="24"/>
          <w:szCs w:val="24"/>
          <w:lang w:val="kk-KZ" w:eastAsia="ru-RU"/>
        </w:rPr>
        <w:t xml:space="preserve"> </w:t>
      </w:r>
      <w:r>
        <w:rPr>
          <w:rFonts w:asciiTheme="minorHAnsi" w:hAnsiTheme="minorHAnsi"/>
          <w:snapToGrid w:val="0"/>
          <w:sz w:val="24"/>
          <w:szCs w:val="24"/>
          <w:lang w:val="kk-KZ"/>
        </w:rPr>
        <w:t>10,7%-ы</w:t>
      </w:r>
      <w:r w:rsidR="00937F34">
        <w:rPr>
          <w:rFonts w:asciiTheme="minorHAnsi" w:hAnsiTheme="minorHAnsi"/>
          <w:snapToGrid w:val="0"/>
          <w:sz w:val="24"/>
          <w:szCs w:val="24"/>
          <w:lang w:val="kk-KZ"/>
        </w:rPr>
        <w:t>н</w:t>
      </w:r>
      <w:r>
        <w:rPr>
          <w:rFonts w:asciiTheme="minorHAnsi" w:hAnsiTheme="minorHAnsi"/>
          <w:snapToGrid w:val="0"/>
          <w:sz w:val="24"/>
          <w:szCs w:val="24"/>
          <w:lang w:val="kk-KZ"/>
        </w:rPr>
        <w:t xml:space="preserve"> құрады. </w:t>
      </w:r>
    </w:p>
    <w:p w14:paraId="1B158C59" w14:textId="5A93A6F4" w:rsidR="00377F81" w:rsidRDefault="00377F81" w:rsidP="00377F81">
      <w:pPr>
        <w:spacing w:after="0" w:line="240" w:lineRule="auto"/>
        <w:ind w:firstLine="708"/>
        <w:jc w:val="both"/>
        <w:rPr>
          <w:rFonts w:asciiTheme="minorHAnsi" w:hAnsiTheme="minorHAnsi"/>
          <w:snapToGrid w:val="0"/>
          <w:sz w:val="24"/>
          <w:szCs w:val="24"/>
          <w:lang w:val="kk-KZ"/>
        </w:rPr>
      </w:pPr>
      <w:r>
        <w:rPr>
          <w:rFonts w:asciiTheme="minorHAnsi" w:hAnsiTheme="minorHAnsi"/>
          <w:snapToGrid w:val="0"/>
          <w:sz w:val="24"/>
          <w:szCs w:val="24"/>
          <w:lang w:val="kk-KZ"/>
        </w:rPr>
        <w:t>Несие портфелі бойынша провизиялар 1 734,4 млрд. теңге немесе несие портфелін</w:t>
      </w:r>
      <w:r w:rsidR="00937F34">
        <w:rPr>
          <w:rFonts w:asciiTheme="minorHAnsi" w:hAnsiTheme="minorHAnsi"/>
          <w:snapToGrid w:val="0"/>
          <w:sz w:val="24"/>
          <w:szCs w:val="24"/>
          <w:lang w:val="kk-KZ"/>
        </w:rPr>
        <w:t>ің</w:t>
      </w:r>
      <w:r>
        <w:rPr>
          <w:rFonts w:asciiTheme="minorHAnsi" w:hAnsiTheme="minorHAnsi"/>
          <w:snapToGrid w:val="0"/>
          <w:sz w:val="24"/>
          <w:szCs w:val="24"/>
          <w:lang w:val="kk-KZ"/>
        </w:rPr>
        <w:t xml:space="preserve"> 11,2%</w:t>
      </w:r>
      <w:r w:rsidR="00937F34">
        <w:rPr>
          <w:rFonts w:asciiTheme="minorHAnsi" w:hAnsiTheme="minorHAnsi"/>
          <w:snapToGrid w:val="0"/>
          <w:sz w:val="24"/>
          <w:szCs w:val="24"/>
          <w:lang w:val="kk-KZ"/>
        </w:rPr>
        <w:t>-ы</w:t>
      </w:r>
      <w:r>
        <w:rPr>
          <w:rFonts w:asciiTheme="minorHAnsi" w:hAnsiTheme="minorHAnsi"/>
          <w:snapToGrid w:val="0"/>
          <w:sz w:val="24"/>
          <w:szCs w:val="24"/>
          <w:lang w:val="kk-KZ"/>
        </w:rPr>
        <w:t xml:space="preserve"> (2017 жылдың басында – 1 642,9 млрд. теңге немесе 10,6%) мөлшерінде қалыптастырылды.</w:t>
      </w:r>
    </w:p>
    <w:p w14:paraId="24B5F2EC" w14:textId="77777777" w:rsidR="00377F81" w:rsidRDefault="00377F81" w:rsidP="00377F81">
      <w:pPr>
        <w:spacing w:after="0" w:line="240" w:lineRule="auto"/>
        <w:ind w:firstLine="708"/>
        <w:jc w:val="both"/>
        <w:rPr>
          <w:rFonts w:eastAsia="Calibri"/>
          <w:sz w:val="24"/>
          <w:szCs w:val="24"/>
          <w:highlight w:val="yellow"/>
          <w:lang w:val="kk-KZ"/>
        </w:rPr>
      </w:pPr>
      <w:r>
        <w:rPr>
          <w:rFonts w:asciiTheme="minorHAnsi" w:hAnsiTheme="minorHAnsi"/>
          <w:sz w:val="24"/>
          <w:szCs w:val="24"/>
          <w:lang w:val="kk-KZ" w:eastAsia="ru-RU"/>
        </w:rPr>
        <w:t xml:space="preserve">Банк секторының жиынтық міндеттемелерінің мөлшері 2017 жылғы 1 қаңтармен салыстырғанда 2,5%-ға азайып, 2017 жылғы 1 шілдедегі жағдай бойынша </w:t>
      </w:r>
      <w:r>
        <w:rPr>
          <w:rFonts w:asciiTheme="minorHAnsi" w:hAnsiTheme="minorHAnsi"/>
          <w:snapToGrid w:val="0"/>
          <w:sz w:val="24"/>
          <w:szCs w:val="24"/>
          <w:lang w:val="kk-KZ"/>
        </w:rPr>
        <w:t xml:space="preserve">22 148,7 </w:t>
      </w:r>
      <w:r>
        <w:rPr>
          <w:rFonts w:asciiTheme="minorHAnsi" w:hAnsiTheme="minorHAnsi"/>
          <w:sz w:val="24"/>
          <w:szCs w:val="24"/>
          <w:lang w:val="kk-KZ" w:eastAsia="ru-RU"/>
        </w:rPr>
        <w:t xml:space="preserve">млрд. теңгені құрады. Банктер міндеттемелерінің құрылымында ең жоғары үлесті клиенттердің салымдары </w:t>
      </w:r>
      <w:r>
        <w:rPr>
          <w:rFonts w:asciiTheme="minorHAnsi" w:hAnsiTheme="minorHAnsi"/>
          <w:snapToGrid w:val="0"/>
          <w:sz w:val="24"/>
          <w:szCs w:val="24"/>
          <w:lang w:val="kk-KZ"/>
        </w:rPr>
        <w:t>– 75,9%, айналысқа шығарылған бағалы қағаздар – 6,4%, басқа банктерден және банк операцияларының жекелеген түрлерін жүзеге асыратын ұйымдардан алынған қарыздар – 6,6% иеленеді.</w:t>
      </w:r>
    </w:p>
    <w:p w14:paraId="749AEC72"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t xml:space="preserve">Жиынтық міндеттемелерде банктердің Қазақстан Республикасының бейрезиденттері алдындағы міндеттемелері 2017 жылдың басынан бастап </w:t>
      </w:r>
      <w:r>
        <w:rPr>
          <w:snapToGrid w:val="0"/>
          <w:sz w:val="24"/>
          <w:szCs w:val="24"/>
          <w:lang w:val="kk-KZ"/>
        </w:rPr>
        <w:br/>
        <w:t>7,4%-дан 5,6%-ға дейін (немесе 1 687,5 млрд. теңгеден 1 237,9 млрд. теңгеге дейін) төмендеді.</w:t>
      </w:r>
    </w:p>
    <w:p w14:paraId="766DD0F0"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lastRenderedPageBreak/>
        <w:t>2017 жылғы 1 шілдедегі жағдай бойынша банк секторының жиынтық меншікті капиталы 2017 жылғы қаңтар-маусым аралығында 5,4%-ға ұлғайып, 2 993,0 млрд. теңге болды.</w:t>
      </w:r>
    </w:p>
    <w:p w14:paraId="6DF58D3B"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t>Екінші деңгейдегі банктер ағымдағы жылдың басынан алған таза пайда (ағымдағы кірістің ағымдағы шығыстан асуы) 204,0 млрд. теңге (2016 жылғы осындай кезеңде – 204,6 млрд. теңге) болды.</w:t>
      </w:r>
    </w:p>
    <w:p w14:paraId="00380EFE" w14:textId="16ADA0CB" w:rsidR="002D3393" w:rsidRDefault="002D3393" w:rsidP="002D3393">
      <w:pPr>
        <w:spacing w:after="0" w:line="240" w:lineRule="auto"/>
        <w:ind w:firstLine="708"/>
        <w:jc w:val="both"/>
        <w:rPr>
          <w:snapToGrid w:val="0"/>
          <w:sz w:val="24"/>
          <w:szCs w:val="24"/>
          <w:lang w:val="kk-KZ"/>
        </w:rPr>
      </w:pPr>
      <w:r>
        <w:rPr>
          <w:snapToGrid w:val="0"/>
          <w:sz w:val="24"/>
          <w:szCs w:val="24"/>
          <w:lang w:val="kk-KZ"/>
        </w:rPr>
        <w:t>Екінші деңгейдегі банктердің таза пайыздық маржасы және пайыздық спрэд</w:t>
      </w:r>
      <w:r w:rsidR="00894981">
        <w:rPr>
          <w:snapToGrid w:val="0"/>
          <w:sz w:val="24"/>
          <w:szCs w:val="24"/>
          <w:lang w:val="kk-KZ"/>
        </w:rPr>
        <w:t>і</w:t>
      </w:r>
      <w:r>
        <w:rPr>
          <w:snapToGrid w:val="0"/>
          <w:sz w:val="24"/>
          <w:szCs w:val="24"/>
          <w:lang w:val="kk-KZ"/>
        </w:rPr>
        <w:t xml:space="preserve"> 2017 жылғы 1 шілдедегі жағдай бойынша тиісінше 4,5% және 3,8%-ды құрады.</w:t>
      </w:r>
    </w:p>
    <w:p w14:paraId="01A3D1D0" w14:textId="77777777" w:rsidR="002D3393" w:rsidRDefault="002D3393" w:rsidP="002D3393">
      <w:pPr>
        <w:spacing w:after="0" w:line="240" w:lineRule="auto"/>
        <w:ind w:firstLine="708"/>
        <w:jc w:val="both"/>
        <w:rPr>
          <w:snapToGrid w:val="0"/>
          <w:sz w:val="24"/>
          <w:szCs w:val="24"/>
          <w:lang w:val="kk-KZ"/>
        </w:rPr>
      </w:pPr>
    </w:p>
    <w:p w14:paraId="04B4BA23" w14:textId="666C3E15" w:rsidR="002D3393" w:rsidRPr="00B8129C" w:rsidRDefault="002D3393" w:rsidP="00B8129C">
      <w:pPr>
        <w:pStyle w:val="ac"/>
        <w:keepNext/>
        <w:numPr>
          <w:ilvl w:val="0"/>
          <w:numId w:val="8"/>
        </w:numPr>
        <w:tabs>
          <w:tab w:val="left" w:pos="1134"/>
        </w:tabs>
        <w:spacing w:after="0" w:line="240" w:lineRule="auto"/>
        <w:jc w:val="both"/>
        <w:rPr>
          <w:b/>
          <w:sz w:val="24"/>
          <w:szCs w:val="24"/>
        </w:rPr>
      </w:pPr>
      <w:r w:rsidRPr="00B8129C">
        <w:rPr>
          <w:b/>
          <w:sz w:val="24"/>
          <w:szCs w:val="24"/>
          <w:lang w:val="kk-KZ"/>
        </w:rPr>
        <w:t>2017 жылғы маусымдағы сақтандыру секторы</w:t>
      </w:r>
    </w:p>
    <w:p w14:paraId="24557A97" w14:textId="77777777" w:rsidR="002D3393" w:rsidRDefault="002D3393" w:rsidP="002D3393">
      <w:pPr>
        <w:spacing w:after="0" w:line="240" w:lineRule="auto"/>
        <w:ind w:firstLine="708"/>
        <w:jc w:val="both"/>
        <w:rPr>
          <w:snapToGrid w:val="0"/>
          <w:sz w:val="24"/>
          <w:szCs w:val="24"/>
        </w:rPr>
      </w:pPr>
      <w:r>
        <w:rPr>
          <w:snapToGrid w:val="0"/>
          <w:sz w:val="24"/>
          <w:szCs w:val="24"/>
          <w:lang w:val="kk-KZ"/>
        </w:rPr>
        <w:t>2017 жылғы 1 шілдедегі жағдай бойынша сақтандыру секторында 32 сақтандыру (қайта сақтандыру) ұйымы жұмыс істейді</w:t>
      </w:r>
      <w:r>
        <w:rPr>
          <w:snapToGrid w:val="0"/>
          <w:sz w:val="24"/>
          <w:szCs w:val="24"/>
        </w:rPr>
        <w:t xml:space="preserve">. </w:t>
      </w:r>
    </w:p>
    <w:p w14:paraId="7E4CAF8C"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t>Сақтандыру (қайта сақтандыру) ұйымдары активтерінің жиынтық көлемі 2017 жылғы 1 шілдеде 895,4 млрд. теңге болды, жыл басынан бері 4,5%-ға ұлғайды.</w:t>
      </w:r>
    </w:p>
    <w:p w14:paraId="5EF79AA6"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t>Сақтандыру (қайта сақтандыру) ұйымдарының міндеттемелері 496,2 млрд. теңге болды, жыл басынан бері 9,2%-ға өсті.</w:t>
      </w:r>
    </w:p>
    <w:p w14:paraId="5BF4B7D5"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t>Сақтандыру (қайта сақтандыру) ұйымдары қолданыстағы сақтандыру және қайта сақтандыру шарттары бойынша қабылданған міндеттемелердің орындалуын қамтамасыз ету үшін қалыптастырған сақтандыру резервтерінің көлемі жыл басымен салыстырғанда 8,6%-ға өсіп, 448,3 млрд. теңгені құрады.</w:t>
      </w:r>
    </w:p>
    <w:p w14:paraId="563D44F0"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t>Меншікті капитал 399,1 млрд. теңгені құрады, жыл басынан 0,7%-ға азайды.</w:t>
      </w:r>
    </w:p>
    <w:p w14:paraId="078A8DDF" w14:textId="77777777" w:rsidR="002D3393" w:rsidRDefault="002D3393" w:rsidP="002D3393">
      <w:pPr>
        <w:spacing w:after="0" w:line="240" w:lineRule="auto"/>
        <w:ind w:firstLine="708"/>
        <w:jc w:val="both"/>
        <w:rPr>
          <w:snapToGrid w:val="0"/>
          <w:sz w:val="24"/>
          <w:szCs w:val="24"/>
          <w:lang w:val="kk-KZ"/>
        </w:rPr>
      </w:pPr>
      <w:r>
        <w:rPr>
          <w:snapToGrid w:val="0"/>
          <w:sz w:val="24"/>
          <w:szCs w:val="24"/>
          <w:lang w:val="kk-KZ"/>
        </w:rPr>
        <w:t>Сақтандыру сыйлықақылары 2017 жылғы 1 шілдедегі жағдай бойынша 2016 жылғы осындай көрсеткішпен салыстырғанда 3,3%-ға ұлғайды және 204,4 млрд. теңге құрады, оның ішінде тікелей сақтандыру шарттары бойынша қабылданған сақтандыру сыйлықақыларының көлемі 183,6 млрд. теңге болды.</w:t>
      </w:r>
    </w:p>
    <w:p w14:paraId="69715FF4" w14:textId="0E9C7F9B" w:rsidR="002D3393" w:rsidRDefault="002D3393" w:rsidP="002D3393">
      <w:pPr>
        <w:spacing w:after="0" w:line="240" w:lineRule="auto"/>
        <w:ind w:firstLine="708"/>
        <w:jc w:val="both"/>
        <w:rPr>
          <w:rFonts w:eastAsia="Calibri"/>
          <w:sz w:val="24"/>
          <w:szCs w:val="24"/>
          <w:lang w:val="kk-KZ"/>
        </w:rPr>
      </w:pPr>
      <w:r>
        <w:rPr>
          <w:snapToGrid w:val="0"/>
          <w:sz w:val="24"/>
          <w:szCs w:val="24"/>
          <w:lang w:val="kk-KZ"/>
        </w:rPr>
        <w:t>2017 жылғы алты айдың қорытындысы бойынша «өмірді сақтандыру» саласы бойынша сақтандыру сыйлықақылары 32,4 млрд. теңгені құрады, бұл 2016 жыл</w:t>
      </w:r>
      <w:r w:rsidR="00DA44B0">
        <w:rPr>
          <w:snapToGrid w:val="0"/>
          <w:sz w:val="24"/>
          <w:szCs w:val="24"/>
          <w:lang w:val="kk-KZ"/>
        </w:rPr>
        <w:t>д</w:t>
      </w:r>
      <w:r>
        <w:rPr>
          <w:snapToGrid w:val="0"/>
          <w:sz w:val="24"/>
          <w:szCs w:val="24"/>
          <w:lang w:val="kk-KZ"/>
        </w:rPr>
        <w:t>ы</w:t>
      </w:r>
      <w:r w:rsidR="00DA44B0">
        <w:rPr>
          <w:snapToGrid w:val="0"/>
          <w:sz w:val="24"/>
          <w:szCs w:val="24"/>
          <w:lang w:val="kk-KZ"/>
        </w:rPr>
        <w:t>ң</w:t>
      </w:r>
      <w:r>
        <w:rPr>
          <w:snapToGrid w:val="0"/>
          <w:sz w:val="24"/>
          <w:szCs w:val="24"/>
          <w:lang w:val="kk-KZ"/>
        </w:rPr>
        <w:t xml:space="preserve"> осындай кезең</w:t>
      </w:r>
      <w:r w:rsidR="00DA44B0">
        <w:rPr>
          <w:snapToGrid w:val="0"/>
          <w:sz w:val="24"/>
          <w:szCs w:val="24"/>
          <w:lang w:val="kk-KZ"/>
        </w:rPr>
        <w:t>і</w:t>
      </w:r>
      <w:r>
        <w:rPr>
          <w:snapToGrid w:val="0"/>
          <w:sz w:val="24"/>
          <w:szCs w:val="24"/>
          <w:lang w:val="kk-KZ"/>
        </w:rPr>
        <w:t>мен салыстырғанда 35,6%-ға артық. «Өмірді сақтандыру» саласы бойынша жинақталған сақтандыру сыйлықақыларының жиынтық сақтандыру сыйлықақыларындағы үлесі 2016 жылғы 1 шілдедегі 12,1%-ға қарағанда 15,9% болды.</w:t>
      </w:r>
    </w:p>
    <w:p w14:paraId="3D7AF978" w14:textId="413E3AA6" w:rsidR="002D3393" w:rsidRDefault="002D3393" w:rsidP="002D3393">
      <w:pPr>
        <w:spacing w:after="0" w:line="240" w:lineRule="auto"/>
        <w:ind w:firstLine="708"/>
        <w:jc w:val="both"/>
        <w:rPr>
          <w:rFonts w:asciiTheme="minorHAnsi" w:hAnsiTheme="minorHAnsi"/>
          <w:snapToGrid w:val="0"/>
          <w:sz w:val="24"/>
          <w:szCs w:val="24"/>
          <w:lang w:val="kk-KZ"/>
        </w:rPr>
      </w:pPr>
      <w:r>
        <w:rPr>
          <w:rFonts w:asciiTheme="minorHAnsi" w:hAnsiTheme="minorHAnsi"/>
          <w:snapToGrid w:val="0"/>
          <w:sz w:val="24"/>
          <w:szCs w:val="24"/>
          <w:lang w:val="kk-KZ"/>
        </w:rPr>
        <w:t xml:space="preserve">Қайта сақтандыруға берілген сақтандыру сыйлықақыларының көлемі </w:t>
      </w:r>
      <w:r>
        <w:rPr>
          <w:rFonts w:asciiTheme="minorHAnsi" w:hAnsiTheme="minorHAnsi"/>
          <w:snapToGrid w:val="0"/>
          <w:sz w:val="24"/>
          <w:szCs w:val="24"/>
          <w:lang w:val="kk-KZ"/>
        </w:rPr>
        <w:br/>
        <w:t>75,2 млрд. теңгені немесе сақтандыру сыйлықақыларының жиынтық көлемін</w:t>
      </w:r>
      <w:r w:rsidR="00DA44B0">
        <w:rPr>
          <w:rFonts w:asciiTheme="minorHAnsi" w:hAnsiTheme="minorHAnsi"/>
          <w:snapToGrid w:val="0"/>
          <w:sz w:val="24"/>
          <w:szCs w:val="24"/>
          <w:lang w:val="kk-KZ"/>
        </w:rPr>
        <w:t>ің</w:t>
      </w:r>
      <w:r>
        <w:rPr>
          <w:rFonts w:asciiTheme="minorHAnsi" w:hAnsiTheme="minorHAnsi"/>
          <w:snapToGrid w:val="0"/>
          <w:sz w:val="24"/>
          <w:szCs w:val="24"/>
          <w:lang w:val="kk-KZ"/>
        </w:rPr>
        <w:t xml:space="preserve"> 36,8%-ы</w:t>
      </w:r>
      <w:r w:rsidR="00DA44B0">
        <w:rPr>
          <w:rFonts w:asciiTheme="minorHAnsi" w:hAnsiTheme="minorHAnsi"/>
          <w:snapToGrid w:val="0"/>
          <w:sz w:val="24"/>
          <w:szCs w:val="24"/>
          <w:lang w:val="kk-KZ"/>
        </w:rPr>
        <w:t>н</w:t>
      </w:r>
      <w:r>
        <w:rPr>
          <w:rFonts w:asciiTheme="minorHAnsi" w:hAnsiTheme="minorHAnsi"/>
          <w:snapToGrid w:val="0"/>
          <w:sz w:val="24"/>
          <w:szCs w:val="24"/>
          <w:lang w:val="kk-KZ"/>
        </w:rPr>
        <w:t xml:space="preserve">  құрады. Бұл ретте қайта сақтандыруға берілген сақтандыру сыйлықақыларынан 87,2%</w:t>
      </w:r>
      <w:r w:rsidR="00DA44B0">
        <w:rPr>
          <w:rFonts w:asciiTheme="minorHAnsi" w:hAnsiTheme="minorHAnsi"/>
          <w:snapToGrid w:val="0"/>
          <w:sz w:val="24"/>
          <w:szCs w:val="24"/>
          <w:lang w:val="kk-KZ"/>
        </w:rPr>
        <w:t>-ы</w:t>
      </w:r>
      <w:r>
        <w:rPr>
          <w:rFonts w:asciiTheme="minorHAnsi" w:hAnsiTheme="minorHAnsi"/>
          <w:snapToGrid w:val="0"/>
          <w:sz w:val="24"/>
          <w:szCs w:val="24"/>
          <w:lang w:val="kk-KZ"/>
        </w:rPr>
        <w:t xml:space="preserve"> Қазақстан Республикасының бейрезиденттеріне қайта сақтандыруға берілді.</w:t>
      </w:r>
    </w:p>
    <w:p w14:paraId="31C144AA" w14:textId="77B73CB3" w:rsidR="002D3393" w:rsidRDefault="002D3393" w:rsidP="002D3393">
      <w:pPr>
        <w:spacing w:after="0" w:line="240" w:lineRule="auto"/>
        <w:ind w:firstLine="708"/>
        <w:jc w:val="both"/>
        <w:rPr>
          <w:snapToGrid w:val="0"/>
          <w:sz w:val="24"/>
          <w:szCs w:val="24"/>
          <w:lang w:val="kk-KZ"/>
        </w:rPr>
      </w:pPr>
      <w:r>
        <w:rPr>
          <w:rFonts w:asciiTheme="minorHAnsi" w:hAnsiTheme="minorHAnsi"/>
          <w:snapToGrid w:val="0"/>
          <w:sz w:val="24"/>
          <w:szCs w:val="24"/>
          <w:lang w:val="kk-KZ"/>
        </w:rPr>
        <w:t>2017 жылдың басынан бері төленген сақтандыру төлемдерінің жалпы көлемі (қайта сақтандыруға қабылданған шарттар бойынша жүзеге асырылған сақтандыру төлемдерін шегергенде) 38,5 млрд. теңге болды, ол 2016 жыл</w:t>
      </w:r>
      <w:r w:rsidR="00DA44B0">
        <w:rPr>
          <w:rFonts w:asciiTheme="minorHAnsi" w:hAnsiTheme="minorHAnsi"/>
          <w:snapToGrid w:val="0"/>
          <w:sz w:val="24"/>
          <w:szCs w:val="24"/>
          <w:lang w:val="kk-KZ"/>
        </w:rPr>
        <w:t>дың</w:t>
      </w:r>
      <w:r>
        <w:rPr>
          <w:rFonts w:asciiTheme="minorHAnsi" w:hAnsiTheme="minorHAnsi"/>
          <w:snapToGrid w:val="0"/>
          <w:sz w:val="24"/>
          <w:szCs w:val="24"/>
          <w:lang w:val="kk-KZ"/>
        </w:rPr>
        <w:t xml:space="preserve"> осын</w:t>
      </w:r>
      <w:r w:rsidR="00DA44B0">
        <w:rPr>
          <w:rFonts w:asciiTheme="minorHAnsi" w:hAnsiTheme="minorHAnsi"/>
          <w:snapToGrid w:val="0"/>
          <w:sz w:val="24"/>
          <w:szCs w:val="24"/>
          <w:lang w:val="kk-KZ"/>
        </w:rPr>
        <w:t>дай</w:t>
      </w:r>
      <w:r>
        <w:rPr>
          <w:rFonts w:asciiTheme="minorHAnsi" w:hAnsiTheme="minorHAnsi"/>
          <w:snapToGrid w:val="0"/>
          <w:sz w:val="24"/>
          <w:szCs w:val="24"/>
          <w:lang w:val="kk-KZ"/>
        </w:rPr>
        <w:t xml:space="preserve"> кезең</w:t>
      </w:r>
      <w:r w:rsidR="00DA44B0">
        <w:rPr>
          <w:rFonts w:asciiTheme="minorHAnsi" w:hAnsiTheme="minorHAnsi"/>
          <w:snapToGrid w:val="0"/>
          <w:sz w:val="24"/>
          <w:szCs w:val="24"/>
          <w:lang w:val="kk-KZ"/>
        </w:rPr>
        <w:t>імен</w:t>
      </w:r>
      <w:r>
        <w:rPr>
          <w:rFonts w:asciiTheme="minorHAnsi" w:hAnsiTheme="minorHAnsi"/>
          <w:snapToGrid w:val="0"/>
          <w:sz w:val="24"/>
          <w:szCs w:val="24"/>
          <w:lang w:val="kk-KZ"/>
        </w:rPr>
        <w:t xml:space="preserve"> салыстырғанда 3,8%-ға аз</w:t>
      </w:r>
      <w:r>
        <w:rPr>
          <w:snapToGrid w:val="0"/>
          <w:sz w:val="24"/>
          <w:szCs w:val="24"/>
          <w:lang w:val="kk-KZ"/>
        </w:rPr>
        <w:t>.</w:t>
      </w:r>
    </w:p>
    <w:p w14:paraId="5E73FFF4" w14:textId="77777777" w:rsidR="002D3393" w:rsidRDefault="002D3393" w:rsidP="002D3393">
      <w:pPr>
        <w:spacing w:after="0" w:line="240" w:lineRule="auto"/>
        <w:ind w:firstLine="708"/>
        <w:jc w:val="both"/>
        <w:rPr>
          <w:snapToGrid w:val="0"/>
          <w:sz w:val="24"/>
          <w:szCs w:val="24"/>
          <w:lang w:val="kk-KZ"/>
        </w:rPr>
      </w:pPr>
    </w:p>
    <w:p w14:paraId="232F1772" w14:textId="5D69FDF7" w:rsidR="002D3393" w:rsidRPr="00B8129C" w:rsidRDefault="002D3393" w:rsidP="00B8129C">
      <w:pPr>
        <w:pStyle w:val="ac"/>
        <w:keepNext/>
        <w:numPr>
          <w:ilvl w:val="0"/>
          <w:numId w:val="8"/>
        </w:numPr>
        <w:tabs>
          <w:tab w:val="left" w:pos="1134"/>
        </w:tabs>
        <w:spacing w:after="0" w:line="240" w:lineRule="auto"/>
        <w:jc w:val="both"/>
        <w:rPr>
          <w:b/>
          <w:sz w:val="24"/>
          <w:szCs w:val="24"/>
          <w:lang w:val="kk-KZ"/>
        </w:rPr>
      </w:pPr>
      <w:r w:rsidRPr="00B8129C">
        <w:rPr>
          <w:rFonts w:asciiTheme="minorHAnsi" w:hAnsiTheme="minorHAnsi"/>
          <w:b/>
          <w:sz w:val="24"/>
          <w:szCs w:val="24"/>
          <w:lang w:val="kk-KZ" w:eastAsia="ru-RU"/>
        </w:rPr>
        <w:t>2017 жылғы қаңтар-маусымдағы зейнетақы жүйесі</w:t>
      </w:r>
    </w:p>
    <w:p w14:paraId="60A34827" w14:textId="4BA08800" w:rsidR="002D3393" w:rsidRPr="00AC33FA" w:rsidRDefault="002D3393" w:rsidP="002D3393">
      <w:pPr>
        <w:spacing w:after="0" w:line="240" w:lineRule="auto"/>
        <w:ind w:firstLine="708"/>
        <w:jc w:val="both"/>
        <w:rPr>
          <w:sz w:val="24"/>
          <w:szCs w:val="24"/>
          <w:lang w:val="kk-KZ" w:eastAsia="ru-RU"/>
        </w:rPr>
      </w:pPr>
      <w:r w:rsidRPr="00AC33FA">
        <w:rPr>
          <w:rFonts w:asciiTheme="minorHAnsi" w:hAnsiTheme="minorHAnsi"/>
          <w:sz w:val="24"/>
          <w:szCs w:val="24"/>
          <w:lang w:val="kk-KZ" w:eastAsia="ru-RU"/>
        </w:rPr>
        <w:t>Салымшылардың (алушылардың) зейнетақы жинақтары 2017 жылғы қаңтар-маусымда 450,1 млрд. теңгеге (6</w:t>
      </w:r>
      <w:r w:rsidR="00DA44B0" w:rsidRPr="00AC33FA">
        <w:rPr>
          <w:rFonts w:asciiTheme="minorHAnsi" w:hAnsiTheme="minorHAnsi"/>
          <w:sz w:val="24"/>
          <w:szCs w:val="24"/>
          <w:lang w:val="kk-KZ" w:eastAsia="ru-RU"/>
        </w:rPr>
        <w:t>,7</w:t>
      </w:r>
      <w:r w:rsidRPr="00AC33FA">
        <w:rPr>
          <w:rFonts w:asciiTheme="minorHAnsi" w:hAnsiTheme="minorHAnsi"/>
          <w:sz w:val="24"/>
          <w:szCs w:val="24"/>
          <w:lang w:val="kk-KZ" w:eastAsia="ru-RU"/>
        </w:rPr>
        <w:t>%) ұлғайып, 2017 жылғы 1 шілдедегі жағдай бойынша 7 135,3 млрд. теңгені құрады</w:t>
      </w:r>
      <w:r w:rsidRPr="00AC33FA">
        <w:rPr>
          <w:sz w:val="24"/>
          <w:szCs w:val="24"/>
          <w:lang w:val="kk-KZ" w:eastAsia="ru-RU"/>
        </w:rPr>
        <w:t xml:space="preserve">. </w:t>
      </w:r>
    </w:p>
    <w:p w14:paraId="1A87957E" w14:textId="77777777" w:rsidR="00AC33FA" w:rsidRPr="00AC33FA" w:rsidRDefault="00AC33FA" w:rsidP="00AC33FA">
      <w:pPr>
        <w:spacing w:after="0" w:line="240" w:lineRule="auto"/>
        <w:ind w:firstLine="708"/>
        <w:jc w:val="both"/>
        <w:rPr>
          <w:sz w:val="24"/>
          <w:szCs w:val="24"/>
          <w:lang w:val="kk-KZ" w:eastAsia="ru-RU"/>
        </w:rPr>
      </w:pPr>
      <w:r w:rsidRPr="00AC33FA">
        <w:rPr>
          <w:sz w:val="24"/>
          <w:szCs w:val="24"/>
          <w:lang w:val="kk-KZ" w:eastAsia="ru-RU"/>
        </w:rPr>
        <w:t>2017 жылғы қаңтар-маусым аралығындағы кезеңде зейнетақы активтерін инвестициялаудан түскен «таза» кіріс 205,7 млрд. теңгеге ұлғайды, оның мөлшері 2017 жылғы 1 шілдеде 2 430,0 млрд. теңге болды.</w:t>
      </w:r>
    </w:p>
    <w:p w14:paraId="7313F4E7" w14:textId="77777777" w:rsidR="002D3393" w:rsidRPr="00AC33FA" w:rsidRDefault="002D3393" w:rsidP="002D3393">
      <w:pPr>
        <w:spacing w:after="0" w:line="240" w:lineRule="auto"/>
        <w:ind w:firstLine="708"/>
        <w:jc w:val="both"/>
        <w:rPr>
          <w:rFonts w:asciiTheme="minorHAnsi" w:hAnsiTheme="minorHAnsi"/>
          <w:sz w:val="24"/>
          <w:szCs w:val="24"/>
          <w:lang w:val="kk-KZ" w:eastAsia="ru-RU"/>
        </w:rPr>
      </w:pPr>
      <w:r w:rsidRPr="00AC33FA">
        <w:rPr>
          <w:rFonts w:asciiTheme="minorHAnsi" w:hAnsiTheme="minorHAnsi"/>
          <w:sz w:val="24"/>
          <w:szCs w:val="24"/>
          <w:lang w:val="kk-KZ" w:eastAsia="ru-RU"/>
        </w:rPr>
        <w:t xml:space="preserve">Міндетті зейнетақы жарналары бойынша салымшылардың жеке зейнетақы шоттарының саны (зейнетақы жинақтары жоқ ЖЗШ-ны есептемегенде) 2017 жылғы </w:t>
      </w:r>
      <w:r w:rsidRPr="00AC33FA">
        <w:rPr>
          <w:rFonts w:asciiTheme="minorHAnsi" w:hAnsiTheme="minorHAnsi"/>
          <w:sz w:val="24"/>
          <w:szCs w:val="24"/>
          <w:lang w:val="kk-KZ" w:eastAsia="ru-RU"/>
        </w:rPr>
        <w:br/>
        <w:t>1 шілдеде 9,4 млн. шотты құрады.</w:t>
      </w:r>
    </w:p>
    <w:p w14:paraId="5FA741F8" w14:textId="77777777" w:rsidR="002D3393" w:rsidRPr="00AC33FA" w:rsidRDefault="002D3393" w:rsidP="002D3393">
      <w:pPr>
        <w:spacing w:after="0" w:line="240" w:lineRule="auto"/>
        <w:ind w:firstLine="708"/>
        <w:jc w:val="both"/>
        <w:rPr>
          <w:sz w:val="24"/>
          <w:szCs w:val="24"/>
          <w:lang w:val="kk-KZ" w:eastAsia="ru-RU"/>
        </w:rPr>
      </w:pPr>
      <w:r w:rsidRPr="00AC33FA">
        <w:rPr>
          <w:rFonts w:asciiTheme="minorHAnsi" w:hAnsiTheme="minorHAnsi"/>
          <w:sz w:val="24"/>
          <w:szCs w:val="24"/>
          <w:lang w:val="kk-KZ" w:eastAsia="ru-RU"/>
        </w:rPr>
        <w:lastRenderedPageBreak/>
        <w:t>Зейнетақы төлемдерінің сомасы 2017 жылғы қаңтар-маусымда 121,2 млрд. теңгені құрады</w:t>
      </w:r>
      <w:r w:rsidRPr="00AC33FA">
        <w:rPr>
          <w:sz w:val="24"/>
          <w:szCs w:val="24"/>
          <w:lang w:val="kk-KZ" w:eastAsia="ru-RU"/>
        </w:rPr>
        <w:t>.</w:t>
      </w:r>
    </w:p>
    <w:p w14:paraId="7F8F664D" w14:textId="3C5F9F9C" w:rsidR="002D3393" w:rsidRDefault="002D3393" w:rsidP="002D3393">
      <w:pPr>
        <w:spacing w:after="0" w:line="240" w:lineRule="auto"/>
        <w:ind w:firstLine="708"/>
        <w:jc w:val="both"/>
        <w:rPr>
          <w:sz w:val="24"/>
          <w:szCs w:val="24"/>
          <w:lang w:val="kk-KZ" w:eastAsia="ru-RU"/>
        </w:rPr>
      </w:pPr>
      <w:r w:rsidRPr="00AC33FA">
        <w:rPr>
          <w:rFonts w:asciiTheme="minorHAnsi" w:hAnsiTheme="minorHAnsi"/>
          <w:sz w:val="24"/>
          <w:szCs w:val="24"/>
          <w:lang w:val="kk-KZ" w:eastAsia="ru-RU"/>
        </w:rPr>
        <w:t xml:space="preserve">БЖЗҚ-ның жиынтық инвестициялық портфелінің негізгі үлесін 2017 жылғы </w:t>
      </w:r>
      <w:r w:rsidRPr="00AC33FA">
        <w:rPr>
          <w:rFonts w:asciiTheme="minorHAnsi" w:hAnsiTheme="minorHAnsi"/>
          <w:sz w:val="24"/>
          <w:szCs w:val="24"/>
          <w:lang w:val="kk-KZ" w:eastAsia="ru-RU"/>
        </w:rPr>
        <w:br/>
        <w:t xml:space="preserve">1 шілдеде бұрынғыдай, ҚР-ның мемлекеттік бағалы қағаздары мен ҚР эмитенттерінің корпоративтік бағалы қағаздары </w:t>
      </w:r>
      <w:r w:rsidR="00DA44B0" w:rsidRPr="00AC33FA">
        <w:rPr>
          <w:rFonts w:asciiTheme="minorHAnsi" w:hAnsiTheme="minorHAnsi"/>
          <w:sz w:val="24"/>
          <w:szCs w:val="24"/>
          <w:lang w:val="kk-KZ" w:eastAsia="ru-RU"/>
        </w:rPr>
        <w:t>құр</w:t>
      </w:r>
      <w:r w:rsidRPr="00AC33FA">
        <w:rPr>
          <w:rFonts w:asciiTheme="minorHAnsi" w:hAnsiTheme="minorHAnsi"/>
          <w:sz w:val="24"/>
          <w:szCs w:val="24"/>
          <w:lang w:val="kk-KZ" w:eastAsia="ru-RU"/>
        </w:rPr>
        <w:t>а</w:t>
      </w:r>
      <w:r w:rsidR="00DA44B0" w:rsidRPr="00AC33FA">
        <w:rPr>
          <w:rFonts w:asciiTheme="minorHAnsi" w:hAnsiTheme="minorHAnsi"/>
          <w:sz w:val="24"/>
          <w:szCs w:val="24"/>
          <w:lang w:val="kk-KZ" w:eastAsia="ru-RU"/>
        </w:rPr>
        <w:t>й</w:t>
      </w:r>
      <w:r w:rsidRPr="00AC33FA">
        <w:rPr>
          <w:rFonts w:asciiTheme="minorHAnsi" w:hAnsiTheme="minorHAnsi"/>
          <w:sz w:val="24"/>
          <w:szCs w:val="24"/>
          <w:lang w:val="kk-KZ" w:eastAsia="ru-RU"/>
        </w:rPr>
        <w:t>ды (зейнетақы активтерінің жалпы көлемін</w:t>
      </w:r>
      <w:r w:rsidR="00DA44B0" w:rsidRPr="00AC33FA">
        <w:rPr>
          <w:rFonts w:asciiTheme="minorHAnsi" w:hAnsiTheme="minorHAnsi"/>
          <w:sz w:val="24"/>
          <w:szCs w:val="24"/>
          <w:lang w:val="kk-KZ" w:eastAsia="ru-RU"/>
        </w:rPr>
        <w:t>ің</w:t>
      </w:r>
      <w:r w:rsidRPr="00AC33FA">
        <w:rPr>
          <w:rFonts w:asciiTheme="minorHAnsi" w:hAnsiTheme="minorHAnsi"/>
          <w:sz w:val="24"/>
          <w:szCs w:val="24"/>
          <w:lang w:val="kk-KZ" w:eastAsia="ru-RU"/>
        </w:rPr>
        <w:t xml:space="preserve"> тиісінше 42,4%</w:t>
      </w:r>
      <w:r w:rsidR="00DA44B0" w:rsidRPr="00AC33FA">
        <w:rPr>
          <w:rFonts w:asciiTheme="minorHAnsi" w:hAnsiTheme="minorHAnsi"/>
          <w:sz w:val="24"/>
          <w:szCs w:val="24"/>
          <w:lang w:val="kk-KZ" w:eastAsia="ru-RU"/>
        </w:rPr>
        <w:t xml:space="preserve">-ы </w:t>
      </w:r>
      <w:r w:rsidRPr="00AC33FA">
        <w:rPr>
          <w:rFonts w:asciiTheme="minorHAnsi" w:hAnsiTheme="minorHAnsi"/>
          <w:sz w:val="24"/>
          <w:szCs w:val="24"/>
          <w:lang w:val="kk-KZ" w:eastAsia="ru-RU"/>
        </w:rPr>
        <w:t xml:space="preserve"> және 33,5%</w:t>
      </w:r>
      <w:r w:rsidR="00DA44B0" w:rsidRPr="00AC33FA">
        <w:rPr>
          <w:rFonts w:asciiTheme="minorHAnsi" w:hAnsiTheme="minorHAnsi"/>
          <w:sz w:val="24"/>
          <w:szCs w:val="24"/>
          <w:lang w:val="kk-KZ" w:eastAsia="ru-RU"/>
        </w:rPr>
        <w:t>-ы</w:t>
      </w:r>
      <w:r w:rsidRPr="00AC33FA">
        <w:rPr>
          <w:rFonts w:asciiTheme="minorHAnsi" w:hAnsiTheme="minorHAnsi"/>
          <w:sz w:val="24"/>
          <w:szCs w:val="24"/>
          <w:lang w:val="kk-KZ" w:eastAsia="ru-RU"/>
        </w:rPr>
        <w:t>). Өз кезегінде, банктердегі салымдардың үлесіне зейнетақы активтерінің жалпы көлемінен 8,5%</w:t>
      </w:r>
      <w:r w:rsidR="00DA44B0" w:rsidRPr="00AC33FA">
        <w:rPr>
          <w:rFonts w:asciiTheme="minorHAnsi" w:hAnsiTheme="minorHAnsi"/>
          <w:sz w:val="24"/>
          <w:szCs w:val="24"/>
          <w:lang w:val="kk-KZ" w:eastAsia="ru-RU"/>
        </w:rPr>
        <w:t>-ы</w:t>
      </w:r>
      <w:r w:rsidRPr="00AC33FA">
        <w:rPr>
          <w:rFonts w:asciiTheme="minorHAnsi" w:hAnsiTheme="minorHAnsi"/>
          <w:sz w:val="24"/>
          <w:szCs w:val="24"/>
          <w:lang w:val="kk-KZ" w:eastAsia="ru-RU"/>
        </w:rPr>
        <w:t xml:space="preserve"> тиесілі болды</w:t>
      </w:r>
      <w:r w:rsidRPr="00AC33FA">
        <w:rPr>
          <w:sz w:val="24"/>
          <w:szCs w:val="24"/>
          <w:lang w:val="kk-KZ" w:eastAsia="ru-RU"/>
        </w:rPr>
        <w:t>.</w:t>
      </w:r>
    </w:p>
    <w:p w14:paraId="469A9C6E" w14:textId="77777777" w:rsidR="006D5154" w:rsidRDefault="006D5154" w:rsidP="002D3393">
      <w:pPr>
        <w:spacing w:after="0" w:line="240" w:lineRule="auto"/>
        <w:ind w:firstLine="708"/>
        <w:jc w:val="both"/>
        <w:rPr>
          <w:sz w:val="24"/>
          <w:szCs w:val="24"/>
          <w:lang w:val="kk-KZ" w:eastAsia="ru-RU"/>
        </w:rPr>
      </w:pPr>
    </w:p>
    <w:p w14:paraId="5C08E854" w14:textId="77777777" w:rsidR="00295A22" w:rsidRDefault="00295A22" w:rsidP="00AC33FA">
      <w:pPr>
        <w:spacing w:after="0" w:line="240" w:lineRule="auto"/>
        <w:rPr>
          <w:rFonts w:ascii="Times New Roman" w:hAnsi="Times New Roman"/>
          <w:sz w:val="24"/>
          <w:szCs w:val="20"/>
          <w:lang w:val="kk-KZ" w:eastAsia="ru-RU"/>
        </w:rPr>
      </w:pPr>
    </w:p>
    <w:p w14:paraId="5CC5BF65" w14:textId="77777777" w:rsidR="00295A22" w:rsidRDefault="00295A22" w:rsidP="00295A22">
      <w:pPr>
        <w:spacing w:after="0" w:line="240" w:lineRule="auto"/>
        <w:ind w:firstLine="720"/>
        <w:jc w:val="both"/>
        <w:rPr>
          <w:rFonts w:ascii="Times New Roman" w:hAnsi="Times New Roman"/>
          <w:sz w:val="24"/>
          <w:szCs w:val="20"/>
          <w:lang w:val="kk-KZ" w:eastAsia="ru-RU"/>
        </w:rPr>
      </w:pPr>
    </w:p>
    <w:p w14:paraId="294C8093" w14:textId="77777777" w:rsidR="00295A22" w:rsidRDefault="00295A22" w:rsidP="00295A22">
      <w:pPr>
        <w:pStyle w:val="ad"/>
        <w:rPr>
          <w:lang w:val="kk-KZ"/>
        </w:rPr>
      </w:pPr>
    </w:p>
    <w:p w14:paraId="49B90DD1" w14:textId="77777777" w:rsidR="00155C04" w:rsidRDefault="00155C04" w:rsidP="00295A22">
      <w:pPr>
        <w:pStyle w:val="ad"/>
        <w:rPr>
          <w:lang w:val="kk-KZ"/>
        </w:rPr>
      </w:pPr>
    </w:p>
    <w:p w14:paraId="5B53E13E" w14:textId="77777777" w:rsidR="00155C04" w:rsidRDefault="00155C04" w:rsidP="00295A22">
      <w:pPr>
        <w:pStyle w:val="ad"/>
        <w:rPr>
          <w:lang w:val="kk-KZ"/>
        </w:rPr>
      </w:pPr>
    </w:p>
    <w:p w14:paraId="3BF4EAF4" w14:textId="77777777" w:rsidR="00155C04" w:rsidRDefault="00155C04" w:rsidP="00295A22">
      <w:pPr>
        <w:pStyle w:val="ad"/>
        <w:rPr>
          <w:lang w:val="kk-KZ"/>
        </w:rPr>
      </w:pPr>
    </w:p>
    <w:p w14:paraId="3DE66DE7" w14:textId="77777777" w:rsidR="00155C04" w:rsidRDefault="00155C04" w:rsidP="00295A22">
      <w:pPr>
        <w:pStyle w:val="ad"/>
        <w:rPr>
          <w:lang w:val="kk-KZ"/>
        </w:rPr>
      </w:pPr>
    </w:p>
    <w:p w14:paraId="4C1319E6" w14:textId="77777777" w:rsidR="00155C04" w:rsidRDefault="00155C04" w:rsidP="00295A22">
      <w:pPr>
        <w:pStyle w:val="ad"/>
        <w:rPr>
          <w:lang w:val="kk-KZ"/>
        </w:rPr>
      </w:pPr>
    </w:p>
    <w:p w14:paraId="13D56460" w14:textId="77777777" w:rsidR="00155C04" w:rsidRDefault="00155C04" w:rsidP="00295A22">
      <w:pPr>
        <w:pStyle w:val="ad"/>
        <w:rPr>
          <w:lang w:val="kk-KZ"/>
        </w:rPr>
      </w:pPr>
    </w:p>
    <w:p w14:paraId="7C7865DA" w14:textId="77777777" w:rsidR="00155C04" w:rsidRDefault="00155C04" w:rsidP="00295A22">
      <w:pPr>
        <w:pStyle w:val="ad"/>
        <w:rPr>
          <w:lang w:val="kk-KZ"/>
        </w:rPr>
      </w:pPr>
    </w:p>
    <w:p w14:paraId="31E85821" w14:textId="77777777" w:rsidR="00155C04" w:rsidRDefault="00155C04" w:rsidP="00295A22">
      <w:pPr>
        <w:pStyle w:val="ad"/>
        <w:rPr>
          <w:lang w:val="kk-KZ"/>
        </w:rPr>
      </w:pPr>
    </w:p>
    <w:p w14:paraId="3989AE19" w14:textId="77777777" w:rsidR="00155C04" w:rsidRDefault="00155C04" w:rsidP="00295A22">
      <w:pPr>
        <w:pStyle w:val="ad"/>
        <w:rPr>
          <w:lang w:val="kk-KZ"/>
        </w:rPr>
      </w:pPr>
    </w:p>
    <w:p w14:paraId="71E8D330" w14:textId="77777777" w:rsidR="00155C04" w:rsidRDefault="00155C04" w:rsidP="00295A22">
      <w:pPr>
        <w:pStyle w:val="ad"/>
        <w:rPr>
          <w:lang w:val="kk-KZ"/>
        </w:rPr>
      </w:pPr>
    </w:p>
    <w:p w14:paraId="0BFADE0A" w14:textId="77777777" w:rsidR="00155C04" w:rsidRDefault="00155C04" w:rsidP="00295A22">
      <w:pPr>
        <w:pStyle w:val="ad"/>
        <w:rPr>
          <w:lang w:val="kk-KZ"/>
        </w:rPr>
      </w:pPr>
    </w:p>
    <w:p w14:paraId="3224D404" w14:textId="77777777" w:rsidR="00155C04" w:rsidRDefault="00155C04" w:rsidP="00295A22">
      <w:pPr>
        <w:pStyle w:val="ad"/>
        <w:rPr>
          <w:lang w:val="kk-KZ"/>
        </w:rPr>
      </w:pPr>
    </w:p>
    <w:p w14:paraId="49E661A3" w14:textId="77777777" w:rsidR="00155C04" w:rsidRDefault="00155C04" w:rsidP="00295A22">
      <w:pPr>
        <w:pStyle w:val="ad"/>
        <w:rPr>
          <w:lang w:val="kk-KZ"/>
        </w:rPr>
      </w:pPr>
    </w:p>
    <w:p w14:paraId="263C8F4C" w14:textId="77777777" w:rsidR="00155C04" w:rsidRDefault="00155C04" w:rsidP="00295A22">
      <w:pPr>
        <w:pStyle w:val="ad"/>
        <w:rPr>
          <w:lang w:val="kk-KZ"/>
        </w:rPr>
      </w:pPr>
    </w:p>
    <w:p w14:paraId="7C520B5B" w14:textId="77777777" w:rsidR="00155C04" w:rsidRDefault="00155C04" w:rsidP="00295A22">
      <w:pPr>
        <w:pStyle w:val="ad"/>
        <w:rPr>
          <w:lang w:val="kk-KZ"/>
        </w:rPr>
      </w:pPr>
    </w:p>
    <w:p w14:paraId="728A9D76" w14:textId="77777777" w:rsidR="00155C04" w:rsidRDefault="00155C04" w:rsidP="00295A22">
      <w:pPr>
        <w:pStyle w:val="ad"/>
        <w:rPr>
          <w:lang w:val="kk-KZ"/>
        </w:rPr>
      </w:pPr>
    </w:p>
    <w:p w14:paraId="4AC7BE5D" w14:textId="77777777" w:rsidR="00155C04" w:rsidRDefault="00155C04" w:rsidP="00295A22">
      <w:pPr>
        <w:pStyle w:val="ad"/>
        <w:rPr>
          <w:lang w:val="kk-KZ"/>
        </w:rPr>
      </w:pPr>
    </w:p>
    <w:p w14:paraId="6BDED16C" w14:textId="77777777" w:rsidR="00155C04" w:rsidRDefault="00155C04" w:rsidP="00295A22">
      <w:pPr>
        <w:pStyle w:val="ad"/>
        <w:rPr>
          <w:lang w:val="kk-KZ"/>
        </w:rPr>
      </w:pPr>
    </w:p>
    <w:p w14:paraId="5E14FBB1" w14:textId="77777777" w:rsidR="00155C04" w:rsidRDefault="00155C04" w:rsidP="00295A22">
      <w:pPr>
        <w:pStyle w:val="ad"/>
        <w:rPr>
          <w:lang w:val="kk-KZ"/>
        </w:rPr>
      </w:pPr>
    </w:p>
    <w:p w14:paraId="66089EDF" w14:textId="77777777" w:rsidR="00155C04" w:rsidRDefault="00155C04" w:rsidP="00295A22">
      <w:pPr>
        <w:pStyle w:val="ad"/>
        <w:rPr>
          <w:lang w:val="kk-KZ"/>
        </w:rPr>
      </w:pPr>
    </w:p>
    <w:p w14:paraId="73C3CE97" w14:textId="77777777" w:rsidR="00155C04" w:rsidRDefault="00155C04" w:rsidP="00295A22">
      <w:pPr>
        <w:pStyle w:val="ad"/>
        <w:rPr>
          <w:lang w:val="kk-KZ"/>
        </w:rPr>
      </w:pPr>
    </w:p>
    <w:p w14:paraId="39D9612E" w14:textId="77777777" w:rsidR="00155C04" w:rsidRDefault="00155C04" w:rsidP="00295A22">
      <w:pPr>
        <w:pStyle w:val="ad"/>
        <w:rPr>
          <w:lang w:val="kk-KZ"/>
        </w:rPr>
      </w:pPr>
    </w:p>
    <w:p w14:paraId="6371F1F5" w14:textId="77777777" w:rsidR="00155C04" w:rsidRDefault="00155C04" w:rsidP="00295A22">
      <w:pPr>
        <w:pStyle w:val="ad"/>
        <w:rPr>
          <w:lang w:val="kk-KZ"/>
        </w:rPr>
      </w:pPr>
    </w:p>
    <w:p w14:paraId="255C3273" w14:textId="77777777" w:rsidR="00155C04" w:rsidRDefault="00155C04" w:rsidP="00295A22">
      <w:pPr>
        <w:pStyle w:val="ad"/>
        <w:rPr>
          <w:lang w:val="kk-KZ"/>
        </w:rPr>
      </w:pPr>
    </w:p>
    <w:p w14:paraId="5D083593" w14:textId="77777777" w:rsidR="00155C04" w:rsidRDefault="00155C04" w:rsidP="00295A22">
      <w:pPr>
        <w:pStyle w:val="ad"/>
        <w:rPr>
          <w:lang w:val="kk-KZ"/>
        </w:rPr>
      </w:pPr>
    </w:p>
    <w:p w14:paraId="1EFC3367" w14:textId="77777777" w:rsidR="00155C04" w:rsidRDefault="00155C04" w:rsidP="00295A22">
      <w:pPr>
        <w:pStyle w:val="ad"/>
        <w:rPr>
          <w:lang w:val="kk-KZ"/>
        </w:rPr>
      </w:pPr>
    </w:p>
    <w:p w14:paraId="4C4CB894" w14:textId="77777777" w:rsidR="00155C04" w:rsidRDefault="00155C04" w:rsidP="00295A22">
      <w:pPr>
        <w:pStyle w:val="ad"/>
        <w:rPr>
          <w:lang w:val="kk-KZ"/>
        </w:rPr>
      </w:pPr>
    </w:p>
    <w:p w14:paraId="3651EE84" w14:textId="77777777" w:rsidR="00155C04" w:rsidRDefault="00155C04" w:rsidP="00295A22">
      <w:pPr>
        <w:pStyle w:val="ad"/>
        <w:rPr>
          <w:lang w:val="kk-KZ"/>
        </w:rPr>
      </w:pPr>
    </w:p>
    <w:p w14:paraId="00381540" w14:textId="77777777" w:rsidR="00155C04" w:rsidRDefault="00155C04" w:rsidP="00295A22">
      <w:pPr>
        <w:pStyle w:val="ad"/>
        <w:rPr>
          <w:lang w:val="kk-KZ"/>
        </w:rPr>
      </w:pPr>
    </w:p>
    <w:p w14:paraId="5A0AB20B" w14:textId="77777777" w:rsidR="00155C04" w:rsidRDefault="00155C04" w:rsidP="00295A22">
      <w:pPr>
        <w:pStyle w:val="ad"/>
        <w:rPr>
          <w:lang w:val="kk-KZ"/>
        </w:rPr>
      </w:pPr>
    </w:p>
    <w:p w14:paraId="3BA56879" w14:textId="77777777" w:rsidR="00155C04" w:rsidRDefault="00155C04" w:rsidP="00295A22">
      <w:pPr>
        <w:pStyle w:val="ad"/>
        <w:rPr>
          <w:lang w:val="kk-KZ"/>
        </w:rPr>
      </w:pPr>
    </w:p>
    <w:p w14:paraId="76ED5D0B" w14:textId="77777777" w:rsidR="00295A22" w:rsidRDefault="00295A22" w:rsidP="00295A22">
      <w:pPr>
        <w:pStyle w:val="ad"/>
        <w:rPr>
          <w:lang w:val="kk-KZ"/>
        </w:rPr>
      </w:pPr>
    </w:p>
    <w:p w14:paraId="0B176071" w14:textId="77777777" w:rsidR="00295A22" w:rsidRPr="00155C04" w:rsidRDefault="00295A22" w:rsidP="00155C04">
      <w:pPr>
        <w:spacing w:after="0" w:line="240" w:lineRule="auto"/>
        <w:jc w:val="center"/>
        <w:rPr>
          <w:rFonts w:asciiTheme="minorHAnsi" w:hAnsiTheme="minorHAnsi"/>
          <w:lang w:val="kk-KZ"/>
        </w:rPr>
      </w:pPr>
      <w:r w:rsidRPr="00155C04">
        <w:rPr>
          <w:rFonts w:asciiTheme="minorHAnsi" w:hAnsiTheme="minorHAnsi"/>
          <w:lang w:val="kk-KZ"/>
        </w:rPr>
        <w:t>Толығырақ ақпаратты мына телефондар бойынша алуға болады:</w:t>
      </w:r>
    </w:p>
    <w:p w14:paraId="1ADB82AE" w14:textId="77777777" w:rsidR="00295A22" w:rsidRPr="00155C04" w:rsidRDefault="00295A22" w:rsidP="00155C04">
      <w:pPr>
        <w:spacing w:after="0" w:line="240" w:lineRule="auto"/>
        <w:jc w:val="center"/>
        <w:rPr>
          <w:rFonts w:asciiTheme="minorHAnsi" w:hAnsiTheme="minorHAnsi"/>
          <w:lang w:val="en-US"/>
        </w:rPr>
      </w:pPr>
      <w:r w:rsidRPr="00155C04">
        <w:rPr>
          <w:rFonts w:asciiTheme="minorHAnsi" w:hAnsiTheme="minorHAnsi"/>
          <w:lang w:val="en-US"/>
        </w:rPr>
        <w:t>+7 (727) 270 45 85</w:t>
      </w:r>
    </w:p>
    <w:p w14:paraId="5DD187A6" w14:textId="71336EC3" w:rsidR="00295A22" w:rsidRPr="00155C04" w:rsidRDefault="00A56F43" w:rsidP="00155C04">
      <w:pPr>
        <w:spacing w:after="0" w:line="240" w:lineRule="auto"/>
        <w:jc w:val="center"/>
        <w:rPr>
          <w:rFonts w:asciiTheme="minorHAnsi" w:hAnsiTheme="minorHAnsi"/>
          <w:lang w:val="en-US"/>
        </w:rPr>
      </w:pPr>
      <w:hyperlink r:id="rId14" w:history="1">
        <w:r w:rsidR="00295A22" w:rsidRPr="00155C04">
          <w:rPr>
            <w:rStyle w:val="af5"/>
            <w:rFonts w:asciiTheme="minorHAnsi" w:hAnsiTheme="minorHAnsi"/>
            <w:color w:val="auto"/>
            <w:u w:val="none"/>
            <w:lang w:val="en-US"/>
          </w:rPr>
          <w:t>press@nationalbank.kz</w:t>
        </w:r>
      </w:hyperlink>
    </w:p>
    <w:p w14:paraId="4A4DE0B8" w14:textId="6D15EDFF" w:rsidR="00295A22" w:rsidRPr="00155C04" w:rsidRDefault="00155C04" w:rsidP="00155C04">
      <w:pPr>
        <w:spacing w:after="0" w:line="240" w:lineRule="auto"/>
        <w:ind w:firstLine="709"/>
        <w:rPr>
          <w:rFonts w:asciiTheme="minorHAnsi" w:hAnsiTheme="minorHAnsi"/>
          <w:lang w:val="en-US"/>
        </w:rPr>
      </w:pPr>
      <w:r w:rsidRPr="00155C04">
        <w:rPr>
          <w:rFonts w:asciiTheme="minorHAnsi" w:hAnsiTheme="minorHAnsi"/>
          <w:lang w:val="en-US"/>
        </w:rPr>
        <w:t xml:space="preserve">                                                            </w:t>
      </w:r>
      <w:r w:rsidR="00295A22" w:rsidRPr="00155C04">
        <w:rPr>
          <w:rFonts w:asciiTheme="minorHAnsi" w:hAnsiTheme="minorHAnsi"/>
          <w:lang w:val="en-US"/>
        </w:rPr>
        <w:t>www.nationalbank.kz</w:t>
      </w:r>
    </w:p>
    <w:p w14:paraId="28B2BE86" w14:textId="77777777" w:rsidR="00295A22" w:rsidRDefault="00295A22" w:rsidP="00295A22">
      <w:pPr>
        <w:rPr>
          <w:lang w:val="en-US"/>
        </w:rPr>
      </w:pPr>
    </w:p>
    <w:p w14:paraId="4F2C4574" w14:textId="0A983C17" w:rsidR="00DA4F96" w:rsidRPr="00295A22" w:rsidRDefault="00DA4F96" w:rsidP="00295A22">
      <w:pPr>
        <w:autoSpaceDE w:val="0"/>
        <w:autoSpaceDN w:val="0"/>
        <w:adjustRightInd w:val="0"/>
        <w:spacing w:after="0" w:line="240" w:lineRule="auto"/>
        <w:ind w:firstLine="708"/>
        <w:contextualSpacing/>
        <w:jc w:val="both"/>
        <w:rPr>
          <w:rFonts w:eastAsia="Calibri"/>
          <w:sz w:val="24"/>
          <w:szCs w:val="24"/>
          <w:lang w:val="en-US"/>
        </w:rPr>
      </w:pPr>
    </w:p>
    <w:sectPr w:rsidR="00DA4F96" w:rsidRPr="00295A22" w:rsidSect="0013530F">
      <w:footerReference w:type="default" r:id="rId15"/>
      <w:pgSz w:w="11906" w:h="16838" w:code="9"/>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C5EC06" w15:done="0"/>
  <w15:commentEx w15:paraId="35FC5B80" w15:done="0"/>
  <w15:commentEx w15:paraId="2D4F159E" w15:done="0"/>
  <w15:commentEx w15:paraId="4DFD1940" w15:done="0"/>
  <w15:commentEx w15:paraId="01BE97B4" w15:done="0"/>
  <w15:commentEx w15:paraId="07CE73A4" w15:done="0"/>
  <w15:commentEx w15:paraId="1637043E" w15:done="0"/>
  <w15:commentEx w15:paraId="57AA88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0E714" w14:textId="77777777" w:rsidR="00F41E4D" w:rsidRDefault="00F41E4D" w:rsidP="002B2595">
      <w:pPr>
        <w:spacing w:after="0" w:line="240" w:lineRule="auto"/>
      </w:pPr>
      <w:r>
        <w:separator/>
      </w:r>
    </w:p>
  </w:endnote>
  <w:endnote w:type="continuationSeparator" w:id="0">
    <w:p w14:paraId="3C52A3B3" w14:textId="77777777" w:rsidR="00F41E4D" w:rsidRDefault="00F41E4D" w:rsidP="002B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6B1F" w14:textId="190F4BC0" w:rsidR="00655250" w:rsidRDefault="00655250" w:rsidP="00764E4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85C5B" w14:textId="77777777" w:rsidR="00F41E4D" w:rsidRDefault="00F41E4D" w:rsidP="002B2595">
      <w:pPr>
        <w:spacing w:after="0" w:line="240" w:lineRule="auto"/>
      </w:pPr>
      <w:r>
        <w:separator/>
      </w:r>
    </w:p>
  </w:footnote>
  <w:footnote w:type="continuationSeparator" w:id="0">
    <w:p w14:paraId="030431E1" w14:textId="77777777" w:rsidR="00F41E4D" w:rsidRDefault="00F41E4D" w:rsidP="002B2595">
      <w:pPr>
        <w:spacing w:after="0" w:line="240" w:lineRule="auto"/>
      </w:pPr>
      <w:r>
        <w:continuationSeparator/>
      </w:r>
    </w:p>
  </w:footnote>
  <w:footnote w:id="1">
    <w:p w14:paraId="00609383" w14:textId="77777777" w:rsidR="00E64B24" w:rsidRDefault="00E64B24" w:rsidP="00E64B24">
      <w:pPr>
        <w:pStyle w:val="a7"/>
        <w:jc w:val="both"/>
        <w:rPr>
          <w:rFonts w:ascii="Calibri" w:hAnsi="Calibri"/>
        </w:rPr>
      </w:pPr>
      <w:r>
        <w:rPr>
          <w:rStyle w:val="a6"/>
        </w:rPr>
        <w:footnoteRef/>
      </w:r>
      <w:r>
        <w:t xml:space="preserve"> </w:t>
      </w:r>
      <w:r>
        <w:rPr>
          <w:rFonts w:ascii="Calibri" w:hAnsi="Calibri"/>
          <w:lang w:val="kk-KZ"/>
        </w:rPr>
        <w:t>биржада МБҚ-мен автоматты РЕПО секторында жасалған, РЕПО-ны мерзімі бір жұмыс күніне  ашу  мәмілелері  бойынша  орташа алынған пайыздық мөлшерлеме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3E"/>
    <w:multiLevelType w:val="hybridMultilevel"/>
    <w:tmpl w:val="13AAA0D4"/>
    <w:lvl w:ilvl="0" w:tplc="C4349BD6">
      <w:start w:val="1"/>
      <w:numFmt w:val="decimal"/>
      <w:lvlText w:val="%1."/>
      <w:lvlJc w:val="left"/>
      <w:pPr>
        <w:ind w:left="928"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883750"/>
    <w:multiLevelType w:val="hybridMultilevel"/>
    <w:tmpl w:val="6F42CBEE"/>
    <w:lvl w:ilvl="0" w:tplc="AD460C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52BC7"/>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401D33"/>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254C3"/>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8D1F62"/>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8B0A65"/>
    <w:multiLevelType w:val="hybridMultilevel"/>
    <w:tmpl w:val="13AAA0D4"/>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1352CE"/>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8B563B"/>
    <w:multiLevelType w:val="hybridMultilevel"/>
    <w:tmpl w:val="16644BD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0F4995"/>
    <w:multiLevelType w:val="hybridMultilevel"/>
    <w:tmpl w:val="13AAA0D4"/>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A62768"/>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3A2691"/>
    <w:multiLevelType w:val="hybridMultilevel"/>
    <w:tmpl w:val="13AAA0D4"/>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2"/>
  </w:num>
  <w:num w:numId="4">
    <w:abstractNumId w:val="4"/>
  </w:num>
  <w:num w:numId="5">
    <w:abstractNumId w:val="7"/>
  </w:num>
  <w:num w:numId="6">
    <w:abstractNumId w:val="3"/>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устем Оразалин">
    <w15:presenceInfo w15:providerId="AD" w15:userId="S-1-5-21-2551463163-52420487-1826496741-7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D4"/>
    <w:rsid w:val="000127F5"/>
    <w:rsid w:val="00015E20"/>
    <w:rsid w:val="0002344F"/>
    <w:rsid w:val="00030595"/>
    <w:rsid w:val="0003366E"/>
    <w:rsid w:val="000509AC"/>
    <w:rsid w:val="00060C91"/>
    <w:rsid w:val="00070394"/>
    <w:rsid w:val="0008213D"/>
    <w:rsid w:val="0009016E"/>
    <w:rsid w:val="000A0C02"/>
    <w:rsid w:val="000A1EAC"/>
    <w:rsid w:val="000A7C45"/>
    <w:rsid w:val="000B7360"/>
    <w:rsid w:val="000C4950"/>
    <w:rsid w:val="000D1CAC"/>
    <w:rsid w:val="000D4BCB"/>
    <w:rsid w:val="000D5329"/>
    <w:rsid w:val="000E6CD4"/>
    <w:rsid w:val="000F06EA"/>
    <w:rsid w:val="00106851"/>
    <w:rsid w:val="00117B92"/>
    <w:rsid w:val="001210F8"/>
    <w:rsid w:val="00125069"/>
    <w:rsid w:val="00125317"/>
    <w:rsid w:val="001312BA"/>
    <w:rsid w:val="001318A9"/>
    <w:rsid w:val="00132CE1"/>
    <w:rsid w:val="0013530F"/>
    <w:rsid w:val="00154A0F"/>
    <w:rsid w:val="00155C04"/>
    <w:rsid w:val="001676D6"/>
    <w:rsid w:val="00180DFE"/>
    <w:rsid w:val="00181E65"/>
    <w:rsid w:val="00191C86"/>
    <w:rsid w:val="001A13AF"/>
    <w:rsid w:val="001A153D"/>
    <w:rsid w:val="001A1AEA"/>
    <w:rsid w:val="001B295E"/>
    <w:rsid w:val="001B39EB"/>
    <w:rsid w:val="001B4BE1"/>
    <w:rsid w:val="001B7F70"/>
    <w:rsid w:val="001C1DC5"/>
    <w:rsid w:val="001C7FD5"/>
    <w:rsid w:val="001E1196"/>
    <w:rsid w:val="001F1B42"/>
    <w:rsid w:val="001F3750"/>
    <w:rsid w:val="00200EC7"/>
    <w:rsid w:val="0020229F"/>
    <w:rsid w:val="00206BD7"/>
    <w:rsid w:val="002160D3"/>
    <w:rsid w:val="00217C95"/>
    <w:rsid w:val="00222177"/>
    <w:rsid w:val="00222399"/>
    <w:rsid w:val="002238F6"/>
    <w:rsid w:val="00230663"/>
    <w:rsid w:val="00256785"/>
    <w:rsid w:val="00262A42"/>
    <w:rsid w:val="00271AB3"/>
    <w:rsid w:val="00273EBA"/>
    <w:rsid w:val="00275E39"/>
    <w:rsid w:val="0028577E"/>
    <w:rsid w:val="00293233"/>
    <w:rsid w:val="00293549"/>
    <w:rsid w:val="00293C0D"/>
    <w:rsid w:val="00295A22"/>
    <w:rsid w:val="002A117B"/>
    <w:rsid w:val="002A23DF"/>
    <w:rsid w:val="002A621C"/>
    <w:rsid w:val="002A7D6D"/>
    <w:rsid w:val="002B2595"/>
    <w:rsid w:val="002B661D"/>
    <w:rsid w:val="002C1EE3"/>
    <w:rsid w:val="002C4E0D"/>
    <w:rsid w:val="002D3393"/>
    <w:rsid w:val="002D518D"/>
    <w:rsid w:val="002D541C"/>
    <w:rsid w:val="002D6357"/>
    <w:rsid w:val="002D6D2B"/>
    <w:rsid w:val="002E687B"/>
    <w:rsid w:val="002F19C2"/>
    <w:rsid w:val="002F1CA7"/>
    <w:rsid w:val="00301E5D"/>
    <w:rsid w:val="003020B8"/>
    <w:rsid w:val="00303D65"/>
    <w:rsid w:val="00325DD9"/>
    <w:rsid w:val="00326785"/>
    <w:rsid w:val="00331E15"/>
    <w:rsid w:val="00332F53"/>
    <w:rsid w:val="0033318A"/>
    <w:rsid w:val="003345F7"/>
    <w:rsid w:val="003346A3"/>
    <w:rsid w:val="00341648"/>
    <w:rsid w:val="00341899"/>
    <w:rsid w:val="0035065D"/>
    <w:rsid w:val="00351CE8"/>
    <w:rsid w:val="00355528"/>
    <w:rsid w:val="00360CE9"/>
    <w:rsid w:val="00361025"/>
    <w:rsid w:val="003636A8"/>
    <w:rsid w:val="0037459E"/>
    <w:rsid w:val="00374868"/>
    <w:rsid w:val="00377F81"/>
    <w:rsid w:val="003804EC"/>
    <w:rsid w:val="0039103B"/>
    <w:rsid w:val="00391775"/>
    <w:rsid w:val="003954A0"/>
    <w:rsid w:val="003A3DF8"/>
    <w:rsid w:val="003A5C5A"/>
    <w:rsid w:val="003B751F"/>
    <w:rsid w:val="003D0D34"/>
    <w:rsid w:val="003D411C"/>
    <w:rsid w:val="003E31E0"/>
    <w:rsid w:val="003F2B96"/>
    <w:rsid w:val="003F39B1"/>
    <w:rsid w:val="003F61E9"/>
    <w:rsid w:val="00410D8E"/>
    <w:rsid w:val="00410DFA"/>
    <w:rsid w:val="0041647A"/>
    <w:rsid w:val="00417697"/>
    <w:rsid w:val="004176B5"/>
    <w:rsid w:val="00430BF5"/>
    <w:rsid w:val="00444590"/>
    <w:rsid w:val="00447AD4"/>
    <w:rsid w:val="004501FE"/>
    <w:rsid w:val="0045081E"/>
    <w:rsid w:val="004637EA"/>
    <w:rsid w:val="00463B51"/>
    <w:rsid w:val="00467F1B"/>
    <w:rsid w:val="0047409C"/>
    <w:rsid w:val="00481D5F"/>
    <w:rsid w:val="0048377A"/>
    <w:rsid w:val="00486DF3"/>
    <w:rsid w:val="00487308"/>
    <w:rsid w:val="004931FC"/>
    <w:rsid w:val="00496CC4"/>
    <w:rsid w:val="00496F3F"/>
    <w:rsid w:val="004A0928"/>
    <w:rsid w:val="004A1E4F"/>
    <w:rsid w:val="004A2595"/>
    <w:rsid w:val="004A25C5"/>
    <w:rsid w:val="004A424B"/>
    <w:rsid w:val="004A5DDB"/>
    <w:rsid w:val="004B3633"/>
    <w:rsid w:val="004B4BA4"/>
    <w:rsid w:val="004C3321"/>
    <w:rsid w:val="004C38CB"/>
    <w:rsid w:val="004C7E1C"/>
    <w:rsid w:val="004D5AEA"/>
    <w:rsid w:val="004E5A3D"/>
    <w:rsid w:val="004E75C2"/>
    <w:rsid w:val="004F1FAD"/>
    <w:rsid w:val="004F2AC5"/>
    <w:rsid w:val="0050059A"/>
    <w:rsid w:val="00517003"/>
    <w:rsid w:val="00520A92"/>
    <w:rsid w:val="0052169C"/>
    <w:rsid w:val="00527593"/>
    <w:rsid w:val="005304E0"/>
    <w:rsid w:val="005326FF"/>
    <w:rsid w:val="00537246"/>
    <w:rsid w:val="0053738B"/>
    <w:rsid w:val="00540512"/>
    <w:rsid w:val="00555DF3"/>
    <w:rsid w:val="00557D7B"/>
    <w:rsid w:val="0056577E"/>
    <w:rsid w:val="00567E38"/>
    <w:rsid w:val="00570DB6"/>
    <w:rsid w:val="0057379F"/>
    <w:rsid w:val="00573B94"/>
    <w:rsid w:val="005753D8"/>
    <w:rsid w:val="00582765"/>
    <w:rsid w:val="00585197"/>
    <w:rsid w:val="00587286"/>
    <w:rsid w:val="005910B0"/>
    <w:rsid w:val="005915AD"/>
    <w:rsid w:val="005926DC"/>
    <w:rsid w:val="005929F4"/>
    <w:rsid w:val="005A0F25"/>
    <w:rsid w:val="005A3A85"/>
    <w:rsid w:val="005A5253"/>
    <w:rsid w:val="005A5D0E"/>
    <w:rsid w:val="005B289B"/>
    <w:rsid w:val="005B3C5D"/>
    <w:rsid w:val="005D00B9"/>
    <w:rsid w:val="005D41FB"/>
    <w:rsid w:val="005D4A73"/>
    <w:rsid w:val="005D77A6"/>
    <w:rsid w:val="005E0405"/>
    <w:rsid w:val="005E3FFA"/>
    <w:rsid w:val="005E532B"/>
    <w:rsid w:val="005F4972"/>
    <w:rsid w:val="005F68FA"/>
    <w:rsid w:val="00610171"/>
    <w:rsid w:val="00611175"/>
    <w:rsid w:val="00612D87"/>
    <w:rsid w:val="00615C4C"/>
    <w:rsid w:val="00615FA1"/>
    <w:rsid w:val="006200D3"/>
    <w:rsid w:val="006260B2"/>
    <w:rsid w:val="00630396"/>
    <w:rsid w:val="006315C0"/>
    <w:rsid w:val="00631AA9"/>
    <w:rsid w:val="006324E7"/>
    <w:rsid w:val="00632DCA"/>
    <w:rsid w:val="006471AB"/>
    <w:rsid w:val="00647939"/>
    <w:rsid w:val="00647AB5"/>
    <w:rsid w:val="00653B48"/>
    <w:rsid w:val="00655250"/>
    <w:rsid w:val="006606AD"/>
    <w:rsid w:val="00662217"/>
    <w:rsid w:val="006624D7"/>
    <w:rsid w:val="006772D5"/>
    <w:rsid w:val="00687C99"/>
    <w:rsid w:val="00690277"/>
    <w:rsid w:val="0069153F"/>
    <w:rsid w:val="006944F7"/>
    <w:rsid w:val="006955D4"/>
    <w:rsid w:val="00696648"/>
    <w:rsid w:val="006A576A"/>
    <w:rsid w:val="006B1B84"/>
    <w:rsid w:val="006B4755"/>
    <w:rsid w:val="006C69EF"/>
    <w:rsid w:val="006D407E"/>
    <w:rsid w:val="006D41FE"/>
    <w:rsid w:val="006D5154"/>
    <w:rsid w:val="006E18E3"/>
    <w:rsid w:val="006E5EE9"/>
    <w:rsid w:val="006F327E"/>
    <w:rsid w:val="006F613E"/>
    <w:rsid w:val="006F7A6E"/>
    <w:rsid w:val="00704579"/>
    <w:rsid w:val="00704857"/>
    <w:rsid w:val="00704DB6"/>
    <w:rsid w:val="00717320"/>
    <w:rsid w:val="00725C34"/>
    <w:rsid w:val="00725EC6"/>
    <w:rsid w:val="00731922"/>
    <w:rsid w:val="00743593"/>
    <w:rsid w:val="00747B2B"/>
    <w:rsid w:val="00751E6F"/>
    <w:rsid w:val="00753F49"/>
    <w:rsid w:val="00756787"/>
    <w:rsid w:val="00756E20"/>
    <w:rsid w:val="00757405"/>
    <w:rsid w:val="007627B0"/>
    <w:rsid w:val="00764E4D"/>
    <w:rsid w:val="00765AEC"/>
    <w:rsid w:val="00771683"/>
    <w:rsid w:val="00775CF7"/>
    <w:rsid w:val="007760C1"/>
    <w:rsid w:val="00780870"/>
    <w:rsid w:val="0078166A"/>
    <w:rsid w:val="007855B7"/>
    <w:rsid w:val="00792B6C"/>
    <w:rsid w:val="00795082"/>
    <w:rsid w:val="007A219C"/>
    <w:rsid w:val="007A3F59"/>
    <w:rsid w:val="007C1E62"/>
    <w:rsid w:val="007D20A2"/>
    <w:rsid w:val="007D3E80"/>
    <w:rsid w:val="007D5257"/>
    <w:rsid w:val="007E0E46"/>
    <w:rsid w:val="007E4B1A"/>
    <w:rsid w:val="007E7399"/>
    <w:rsid w:val="008001B5"/>
    <w:rsid w:val="008008D7"/>
    <w:rsid w:val="00802BBC"/>
    <w:rsid w:val="00806BBF"/>
    <w:rsid w:val="008229A9"/>
    <w:rsid w:val="00830229"/>
    <w:rsid w:val="008430EA"/>
    <w:rsid w:val="00846470"/>
    <w:rsid w:val="00847782"/>
    <w:rsid w:val="00847B25"/>
    <w:rsid w:val="008541E2"/>
    <w:rsid w:val="00862E6D"/>
    <w:rsid w:val="00867F30"/>
    <w:rsid w:val="008706F1"/>
    <w:rsid w:val="00875717"/>
    <w:rsid w:val="008832EF"/>
    <w:rsid w:val="00884E1C"/>
    <w:rsid w:val="0088685F"/>
    <w:rsid w:val="00891409"/>
    <w:rsid w:val="008917C5"/>
    <w:rsid w:val="00894981"/>
    <w:rsid w:val="0089720C"/>
    <w:rsid w:val="00897A83"/>
    <w:rsid w:val="008A38D4"/>
    <w:rsid w:val="008A6717"/>
    <w:rsid w:val="008B0F45"/>
    <w:rsid w:val="008B1189"/>
    <w:rsid w:val="008B495A"/>
    <w:rsid w:val="008B4CFA"/>
    <w:rsid w:val="008C101F"/>
    <w:rsid w:val="008C1453"/>
    <w:rsid w:val="008E1523"/>
    <w:rsid w:val="008E5E78"/>
    <w:rsid w:val="008E6E23"/>
    <w:rsid w:val="008F2398"/>
    <w:rsid w:val="008F7E3D"/>
    <w:rsid w:val="00901FA0"/>
    <w:rsid w:val="00903B77"/>
    <w:rsid w:val="00904D9F"/>
    <w:rsid w:val="0091152D"/>
    <w:rsid w:val="00915D3C"/>
    <w:rsid w:val="00921D23"/>
    <w:rsid w:val="00922495"/>
    <w:rsid w:val="009225DE"/>
    <w:rsid w:val="009249FD"/>
    <w:rsid w:val="009312EE"/>
    <w:rsid w:val="0093675A"/>
    <w:rsid w:val="00937F34"/>
    <w:rsid w:val="00951B53"/>
    <w:rsid w:val="00953C87"/>
    <w:rsid w:val="00953F7D"/>
    <w:rsid w:val="00955E14"/>
    <w:rsid w:val="00962B79"/>
    <w:rsid w:val="00967785"/>
    <w:rsid w:val="009815FD"/>
    <w:rsid w:val="00982362"/>
    <w:rsid w:val="009840AB"/>
    <w:rsid w:val="00984DBC"/>
    <w:rsid w:val="009957AB"/>
    <w:rsid w:val="009A1A32"/>
    <w:rsid w:val="009A365C"/>
    <w:rsid w:val="009B29B6"/>
    <w:rsid w:val="009B5FCE"/>
    <w:rsid w:val="009D1373"/>
    <w:rsid w:val="009D52CC"/>
    <w:rsid w:val="009D7657"/>
    <w:rsid w:val="009F15A1"/>
    <w:rsid w:val="00A01055"/>
    <w:rsid w:val="00A04AB5"/>
    <w:rsid w:val="00A105FE"/>
    <w:rsid w:val="00A134D4"/>
    <w:rsid w:val="00A16262"/>
    <w:rsid w:val="00A1795B"/>
    <w:rsid w:val="00A237AD"/>
    <w:rsid w:val="00A33020"/>
    <w:rsid w:val="00A3796D"/>
    <w:rsid w:val="00A40FD6"/>
    <w:rsid w:val="00A56F43"/>
    <w:rsid w:val="00A62C15"/>
    <w:rsid w:val="00A7484C"/>
    <w:rsid w:val="00A766DE"/>
    <w:rsid w:val="00A76D44"/>
    <w:rsid w:val="00A806A1"/>
    <w:rsid w:val="00A87B6A"/>
    <w:rsid w:val="00AA0E96"/>
    <w:rsid w:val="00AA3A36"/>
    <w:rsid w:val="00AB23BC"/>
    <w:rsid w:val="00AB378C"/>
    <w:rsid w:val="00AC02C1"/>
    <w:rsid w:val="00AC0446"/>
    <w:rsid w:val="00AC33FA"/>
    <w:rsid w:val="00AC491F"/>
    <w:rsid w:val="00AD2D96"/>
    <w:rsid w:val="00AD339D"/>
    <w:rsid w:val="00AD65CC"/>
    <w:rsid w:val="00AE11CF"/>
    <w:rsid w:val="00AE5316"/>
    <w:rsid w:val="00AF23CF"/>
    <w:rsid w:val="00B0117F"/>
    <w:rsid w:val="00B037C3"/>
    <w:rsid w:val="00B0391E"/>
    <w:rsid w:val="00B126F2"/>
    <w:rsid w:val="00B23E19"/>
    <w:rsid w:val="00B24803"/>
    <w:rsid w:val="00B25FE1"/>
    <w:rsid w:val="00B34015"/>
    <w:rsid w:val="00B538AB"/>
    <w:rsid w:val="00B56C81"/>
    <w:rsid w:val="00B73096"/>
    <w:rsid w:val="00B731E6"/>
    <w:rsid w:val="00B8129C"/>
    <w:rsid w:val="00B82709"/>
    <w:rsid w:val="00B901A1"/>
    <w:rsid w:val="00B93756"/>
    <w:rsid w:val="00BA477C"/>
    <w:rsid w:val="00BB741E"/>
    <w:rsid w:val="00BC3C1C"/>
    <w:rsid w:val="00BC5395"/>
    <w:rsid w:val="00BC79F7"/>
    <w:rsid w:val="00BD4F0C"/>
    <w:rsid w:val="00BD6FF9"/>
    <w:rsid w:val="00BE7074"/>
    <w:rsid w:val="00C046B9"/>
    <w:rsid w:val="00C2081F"/>
    <w:rsid w:val="00C2369D"/>
    <w:rsid w:val="00C24A08"/>
    <w:rsid w:val="00C34A6B"/>
    <w:rsid w:val="00C40553"/>
    <w:rsid w:val="00C466C8"/>
    <w:rsid w:val="00C5246A"/>
    <w:rsid w:val="00C57075"/>
    <w:rsid w:val="00C572FB"/>
    <w:rsid w:val="00C579C3"/>
    <w:rsid w:val="00C62D26"/>
    <w:rsid w:val="00C64F0D"/>
    <w:rsid w:val="00C71310"/>
    <w:rsid w:val="00C7312E"/>
    <w:rsid w:val="00C8384D"/>
    <w:rsid w:val="00C86822"/>
    <w:rsid w:val="00C93AF6"/>
    <w:rsid w:val="00C944D7"/>
    <w:rsid w:val="00C944F0"/>
    <w:rsid w:val="00C97039"/>
    <w:rsid w:val="00CA012C"/>
    <w:rsid w:val="00CA10F2"/>
    <w:rsid w:val="00CC02EF"/>
    <w:rsid w:val="00CC3E63"/>
    <w:rsid w:val="00CC724C"/>
    <w:rsid w:val="00CD0FB1"/>
    <w:rsid w:val="00CD4EE8"/>
    <w:rsid w:val="00CD561F"/>
    <w:rsid w:val="00CD5B1A"/>
    <w:rsid w:val="00CE0100"/>
    <w:rsid w:val="00CE5486"/>
    <w:rsid w:val="00CE7CC9"/>
    <w:rsid w:val="00CF6DC9"/>
    <w:rsid w:val="00D062F0"/>
    <w:rsid w:val="00D15A35"/>
    <w:rsid w:val="00D229AE"/>
    <w:rsid w:val="00D23572"/>
    <w:rsid w:val="00D26B45"/>
    <w:rsid w:val="00D32E38"/>
    <w:rsid w:val="00D4053B"/>
    <w:rsid w:val="00D4137D"/>
    <w:rsid w:val="00D44B20"/>
    <w:rsid w:val="00D54140"/>
    <w:rsid w:val="00D54902"/>
    <w:rsid w:val="00D549ED"/>
    <w:rsid w:val="00D56F29"/>
    <w:rsid w:val="00D600E7"/>
    <w:rsid w:val="00D65EA4"/>
    <w:rsid w:val="00D71D7A"/>
    <w:rsid w:val="00D748EE"/>
    <w:rsid w:val="00D74BA1"/>
    <w:rsid w:val="00D814F7"/>
    <w:rsid w:val="00D824F6"/>
    <w:rsid w:val="00D970D5"/>
    <w:rsid w:val="00DA3ED3"/>
    <w:rsid w:val="00DA44B0"/>
    <w:rsid w:val="00DA4F96"/>
    <w:rsid w:val="00DE06CD"/>
    <w:rsid w:val="00DE12B3"/>
    <w:rsid w:val="00E0067B"/>
    <w:rsid w:val="00E14B10"/>
    <w:rsid w:val="00E15BD9"/>
    <w:rsid w:val="00E21AAD"/>
    <w:rsid w:val="00E40431"/>
    <w:rsid w:val="00E50CD3"/>
    <w:rsid w:val="00E51AF5"/>
    <w:rsid w:val="00E64B24"/>
    <w:rsid w:val="00E8582B"/>
    <w:rsid w:val="00E93E48"/>
    <w:rsid w:val="00E97D52"/>
    <w:rsid w:val="00EA042B"/>
    <w:rsid w:val="00EA471B"/>
    <w:rsid w:val="00EB202C"/>
    <w:rsid w:val="00EC6EB5"/>
    <w:rsid w:val="00ED0E5E"/>
    <w:rsid w:val="00EF393F"/>
    <w:rsid w:val="00EF784C"/>
    <w:rsid w:val="00F044C4"/>
    <w:rsid w:val="00F05BDF"/>
    <w:rsid w:val="00F06472"/>
    <w:rsid w:val="00F06F08"/>
    <w:rsid w:val="00F200A5"/>
    <w:rsid w:val="00F21377"/>
    <w:rsid w:val="00F2690B"/>
    <w:rsid w:val="00F26FC2"/>
    <w:rsid w:val="00F27AAB"/>
    <w:rsid w:val="00F34560"/>
    <w:rsid w:val="00F41E4D"/>
    <w:rsid w:val="00F423D0"/>
    <w:rsid w:val="00F43AA1"/>
    <w:rsid w:val="00F46837"/>
    <w:rsid w:val="00F46C77"/>
    <w:rsid w:val="00F47238"/>
    <w:rsid w:val="00F570EE"/>
    <w:rsid w:val="00F67E74"/>
    <w:rsid w:val="00F67F89"/>
    <w:rsid w:val="00F71FFF"/>
    <w:rsid w:val="00F82DD4"/>
    <w:rsid w:val="00F85F75"/>
    <w:rsid w:val="00F877B3"/>
    <w:rsid w:val="00F87C0F"/>
    <w:rsid w:val="00F91341"/>
    <w:rsid w:val="00F93213"/>
    <w:rsid w:val="00FA1DEE"/>
    <w:rsid w:val="00FB149A"/>
    <w:rsid w:val="00FB2732"/>
    <w:rsid w:val="00FB7FD8"/>
    <w:rsid w:val="00FC2D4E"/>
    <w:rsid w:val="00FC4E59"/>
    <w:rsid w:val="00FD0D92"/>
    <w:rsid w:val="00FD6159"/>
    <w:rsid w:val="00FD6864"/>
    <w:rsid w:val="00FD6D8B"/>
    <w:rsid w:val="00FE2897"/>
    <w:rsid w:val="00FE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4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F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2F0"/>
    <w:rPr>
      <w:rFonts w:eastAsia="Calibri"/>
      <w:sz w:val="24"/>
      <w:szCs w:val="22"/>
    </w:rPr>
  </w:style>
  <w:style w:type="paragraph" w:styleId="a4">
    <w:name w:val="footer"/>
    <w:basedOn w:val="a"/>
    <w:link w:val="a5"/>
    <w:uiPriority w:val="99"/>
    <w:unhideWhenUsed/>
    <w:rsid w:val="002B259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B2595"/>
    <w:rPr>
      <w:rFonts w:ascii="Calibri" w:hAnsi="Calibri"/>
      <w:sz w:val="22"/>
      <w:szCs w:val="22"/>
    </w:rPr>
  </w:style>
  <w:style w:type="character" w:styleId="a6">
    <w:name w:val="footnote reference"/>
    <w:aliases w:val="Footnote Reference Number,Footnote Reference_LVL6,Footnote Reference_LVL61,Footnote Reference_LVL62,Footnote Reference_LVL63,Footnote Reference_LVL64,fr"/>
    <w:uiPriority w:val="99"/>
    <w:rsid w:val="002B2595"/>
    <w:rPr>
      <w:vertAlign w:val="superscript"/>
    </w:rPr>
  </w:style>
  <w:style w:type="paragraph" w:styleId="a7">
    <w:name w:val="footnote text"/>
    <w:aliases w:val="Текст сноски-FN,single space"/>
    <w:basedOn w:val="a"/>
    <w:link w:val="a8"/>
    <w:uiPriority w:val="99"/>
    <w:rsid w:val="002B2595"/>
    <w:pPr>
      <w:spacing w:after="0" w:line="240" w:lineRule="auto"/>
    </w:pPr>
    <w:rPr>
      <w:rFonts w:ascii="Times New Roman" w:hAnsi="Times New Roman"/>
      <w:sz w:val="20"/>
      <w:szCs w:val="20"/>
      <w:lang w:eastAsia="ru-RU"/>
    </w:rPr>
  </w:style>
  <w:style w:type="character" w:customStyle="1" w:styleId="a8">
    <w:name w:val="Текст сноски Знак"/>
    <w:aliases w:val="Текст сноски-FN Знак,single space Знак"/>
    <w:basedOn w:val="a0"/>
    <w:link w:val="a7"/>
    <w:uiPriority w:val="99"/>
    <w:rsid w:val="002B2595"/>
    <w:rPr>
      <w:lang w:eastAsia="ru-RU"/>
    </w:rPr>
  </w:style>
  <w:style w:type="paragraph" w:styleId="a9">
    <w:name w:val="Balloon Text"/>
    <w:basedOn w:val="a"/>
    <w:link w:val="aa"/>
    <w:uiPriority w:val="99"/>
    <w:semiHidden/>
    <w:unhideWhenUsed/>
    <w:rsid w:val="002B25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2595"/>
    <w:rPr>
      <w:rFonts w:ascii="Tahoma" w:hAnsi="Tahoma" w:cs="Tahoma"/>
      <w:sz w:val="16"/>
      <w:szCs w:val="16"/>
    </w:rPr>
  </w:style>
  <w:style w:type="table" w:styleId="ab">
    <w:name w:val="Table Grid"/>
    <w:basedOn w:val="a1"/>
    <w:uiPriority w:val="59"/>
    <w:rsid w:val="0039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1775"/>
    <w:pPr>
      <w:ind w:left="720"/>
      <w:contextualSpacing/>
    </w:pPr>
  </w:style>
  <w:style w:type="table" w:customStyle="1" w:styleId="1">
    <w:name w:val="Сетка таблицы1"/>
    <w:basedOn w:val="a1"/>
    <w:next w:val="ab"/>
    <w:uiPriority w:val="59"/>
    <w:rsid w:val="003416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Инфляционный обзор_обычный"/>
    <w:basedOn w:val="a"/>
    <w:rsid w:val="00802BBC"/>
    <w:pPr>
      <w:spacing w:after="0" w:line="240" w:lineRule="auto"/>
      <w:ind w:firstLine="720"/>
      <w:jc w:val="both"/>
    </w:pPr>
    <w:rPr>
      <w:rFonts w:ascii="Times New Roman" w:hAnsi="Times New Roman"/>
      <w:sz w:val="24"/>
      <w:szCs w:val="20"/>
      <w:lang w:eastAsia="ru-RU"/>
    </w:rPr>
  </w:style>
  <w:style w:type="paragraph" w:customStyle="1" w:styleId="Default">
    <w:name w:val="Default"/>
    <w:rsid w:val="000A7C45"/>
    <w:pPr>
      <w:autoSpaceDE w:val="0"/>
      <w:autoSpaceDN w:val="0"/>
      <w:adjustRightInd w:val="0"/>
    </w:pPr>
    <w:rPr>
      <w:rFonts w:eastAsiaTheme="minorHAnsi"/>
      <w:color w:val="000000"/>
      <w:sz w:val="24"/>
      <w:szCs w:val="24"/>
    </w:rPr>
  </w:style>
  <w:style w:type="paragraph" w:styleId="ae">
    <w:name w:val="header"/>
    <w:basedOn w:val="a"/>
    <w:link w:val="af"/>
    <w:uiPriority w:val="99"/>
    <w:unhideWhenUsed/>
    <w:rsid w:val="00C579C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579C3"/>
    <w:rPr>
      <w:rFonts w:ascii="Calibri" w:hAnsi="Calibri"/>
      <w:sz w:val="22"/>
      <w:szCs w:val="22"/>
    </w:rPr>
  </w:style>
  <w:style w:type="character" w:styleId="af0">
    <w:name w:val="annotation reference"/>
    <w:basedOn w:val="a0"/>
    <w:uiPriority w:val="99"/>
    <w:semiHidden/>
    <w:unhideWhenUsed/>
    <w:rsid w:val="00DA3ED3"/>
    <w:rPr>
      <w:sz w:val="16"/>
      <w:szCs w:val="16"/>
    </w:rPr>
  </w:style>
  <w:style w:type="paragraph" w:styleId="af1">
    <w:name w:val="annotation text"/>
    <w:basedOn w:val="a"/>
    <w:link w:val="af2"/>
    <w:uiPriority w:val="99"/>
    <w:semiHidden/>
    <w:unhideWhenUsed/>
    <w:rsid w:val="00DA3ED3"/>
    <w:pPr>
      <w:spacing w:line="240" w:lineRule="auto"/>
    </w:pPr>
    <w:rPr>
      <w:sz w:val="20"/>
      <w:szCs w:val="20"/>
    </w:rPr>
  </w:style>
  <w:style w:type="character" w:customStyle="1" w:styleId="af2">
    <w:name w:val="Текст примечания Знак"/>
    <w:basedOn w:val="a0"/>
    <w:link w:val="af1"/>
    <w:uiPriority w:val="99"/>
    <w:semiHidden/>
    <w:rsid w:val="00DA3ED3"/>
    <w:rPr>
      <w:rFonts w:ascii="Calibri" w:hAnsi="Calibri"/>
    </w:rPr>
  </w:style>
  <w:style w:type="paragraph" w:styleId="af3">
    <w:name w:val="annotation subject"/>
    <w:basedOn w:val="af1"/>
    <w:next w:val="af1"/>
    <w:link w:val="af4"/>
    <w:uiPriority w:val="99"/>
    <w:semiHidden/>
    <w:unhideWhenUsed/>
    <w:rsid w:val="00DA3ED3"/>
    <w:rPr>
      <w:b/>
      <w:bCs/>
    </w:rPr>
  </w:style>
  <w:style w:type="character" w:customStyle="1" w:styleId="af4">
    <w:name w:val="Тема примечания Знак"/>
    <w:basedOn w:val="af2"/>
    <w:link w:val="af3"/>
    <w:uiPriority w:val="99"/>
    <w:semiHidden/>
    <w:rsid w:val="00DA3ED3"/>
    <w:rPr>
      <w:rFonts w:ascii="Calibri" w:hAnsi="Calibri"/>
      <w:b/>
      <w:bCs/>
    </w:rPr>
  </w:style>
  <w:style w:type="character" w:styleId="af5">
    <w:name w:val="Hyperlink"/>
    <w:basedOn w:val="a0"/>
    <w:uiPriority w:val="99"/>
    <w:unhideWhenUsed/>
    <w:rsid w:val="005A5253"/>
    <w:rPr>
      <w:color w:val="0000FF" w:themeColor="hyperlink"/>
      <w:u w:val="single"/>
    </w:rPr>
  </w:style>
  <w:style w:type="paragraph" w:styleId="HTML">
    <w:name w:val="HTML Preformatted"/>
    <w:basedOn w:val="a"/>
    <w:link w:val="HTML0"/>
    <w:uiPriority w:val="99"/>
    <w:semiHidden/>
    <w:unhideWhenUsed/>
    <w:rsid w:val="00DE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DE12B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F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2F0"/>
    <w:rPr>
      <w:rFonts w:eastAsia="Calibri"/>
      <w:sz w:val="24"/>
      <w:szCs w:val="22"/>
    </w:rPr>
  </w:style>
  <w:style w:type="paragraph" w:styleId="a4">
    <w:name w:val="footer"/>
    <w:basedOn w:val="a"/>
    <w:link w:val="a5"/>
    <w:uiPriority w:val="99"/>
    <w:unhideWhenUsed/>
    <w:rsid w:val="002B259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B2595"/>
    <w:rPr>
      <w:rFonts w:ascii="Calibri" w:hAnsi="Calibri"/>
      <w:sz w:val="22"/>
      <w:szCs w:val="22"/>
    </w:rPr>
  </w:style>
  <w:style w:type="character" w:styleId="a6">
    <w:name w:val="footnote reference"/>
    <w:aliases w:val="Footnote Reference Number,Footnote Reference_LVL6,Footnote Reference_LVL61,Footnote Reference_LVL62,Footnote Reference_LVL63,Footnote Reference_LVL64,fr"/>
    <w:uiPriority w:val="99"/>
    <w:rsid w:val="002B2595"/>
    <w:rPr>
      <w:vertAlign w:val="superscript"/>
    </w:rPr>
  </w:style>
  <w:style w:type="paragraph" w:styleId="a7">
    <w:name w:val="footnote text"/>
    <w:aliases w:val="Текст сноски-FN,single space"/>
    <w:basedOn w:val="a"/>
    <w:link w:val="a8"/>
    <w:uiPriority w:val="99"/>
    <w:rsid w:val="002B2595"/>
    <w:pPr>
      <w:spacing w:after="0" w:line="240" w:lineRule="auto"/>
    </w:pPr>
    <w:rPr>
      <w:rFonts w:ascii="Times New Roman" w:hAnsi="Times New Roman"/>
      <w:sz w:val="20"/>
      <w:szCs w:val="20"/>
      <w:lang w:eastAsia="ru-RU"/>
    </w:rPr>
  </w:style>
  <w:style w:type="character" w:customStyle="1" w:styleId="a8">
    <w:name w:val="Текст сноски Знак"/>
    <w:aliases w:val="Текст сноски-FN Знак,single space Знак"/>
    <w:basedOn w:val="a0"/>
    <w:link w:val="a7"/>
    <w:uiPriority w:val="99"/>
    <w:rsid w:val="002B2595"/>
    <w:rPr>
      <w:lang w:eastAsia="ru-RU"/>
    </w:rPr>
  </w:style>
  <w:style w:type="paragraph" w:styleId="a9">
    <w:name w:val="Balloon Text"/>
    <w:basedOn w:val="a"/>
    <w:link w:val="aa"/>
    <w:uiPriority w:val="99"/>
    <w:semiHidden/>
    <w:unhideWhenUsed/>
    <w:rsid w:val="002B25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2595"/>
    <w:rPr>
      <w:rFonts w:ascii="Tahoma" w:hAnsi="Tahoma" w:cs="Tahoma"/>
      <w:sz w:val="16"/>
      <w:szCs w:val="16"/>
    </w:rPr>
  </w:style>
  <w:style w:type="table" w:styleId="ab">
    <w:name w:val="Table Grid"/>
    <w:basedOn w:val="a1"/>
    <w:uiPriority w:val="59"/>
    <w:rsid w:val="0039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1775"/>
    <w:pPr>
      <w:ind w:left="720"/>
      <w:contextualSpacing/>
    </w:pPr>
  </w:style>
  <w:style w:type="table" w:customStyle="1" w:styleId="1">
    <w:name w:val="Сетка таблицы1"/>
    <w:basedOn w:val="a1"/>
    <w:next w:val="ab"/>
    <w:uiPriority w:val="59"/>
    <w:rsid w:val="003416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Инфляционный обзор_обычный"/>
    <w:basedOn w:val="a"/>
    <w:rsid w:val="00802BBC"/>
    <w:pPr>
      <w:spacing w:after="0" w:line="240" w:lineRule="auto"/>
      <w:ind w:firstLine="720"/>
      <w:jc w:val="both"/>
    </w:pPr>
    <w:rPr>
      <w:rFonts w:ascii="Times New Roman" w:hAnsi="Times New Roman"/>
      <w:sz w:val="24"/>
      <w:szCs w:val="20"/>
      <w:lang w:eastAsia="ru-RU"/>
    </w:rPr>
  </w:style>
  <w:style w:type="paragraph" w:customStyle="1" w:styleId="Default">
    <w:name w:val="Default"/>
    <w:rsid w:val="000A7C45"/>
    <w:pPr>
      <w:autoSpaceDE w:val="0"/>
      <w:autoSpaceDN w:val="0"/>
      <w:adjustRightInd w:val="0"/>
    </w:pPr>
    <w:rPr>
      <w:rFonts w:eastAsiaTheme="minorHAnsi"/>
      <w:color w:val="000000"/>
      <w:sz w:val="24"/>
      <w:szCs w:val="24"/>
    </w:rPr>
  </w:style>
  <w:style w:type="paragraph" w:styleId="ae">
    <w:name w:val="header"/>
    <w:basedOn w:val="a"/>
    <w:link w:val="af"/>
    <w:uiPriority w:val="99"/>
    <w:unhideWhenUsed/>
    <w:rsid w:val="00C579C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579C3"/>
    <w:rPr>
      <w:rFonts w:ascii="Calibri" w:hAnsi="Calibri"/>
      <w:sz w:val="22"/>
      <w:szCs w:val="22"/>
    </w:rPr>
  </w:style>
  <w:style w:type="character" w:styleId="af0">
    <w:name w:val="annotation reference"/>
    <w:basedOn w:val="a0"/>
    <w:uiPriority w:val="99"/>
    <w:semiHidden/>
    <w:unhideWhenUsed/>
    <w:rsid w:val="00DA3ED3"/>
    <w:rPr>
      <w:sz w:val="16"/>
      <w:szCs w:val="16"/>
    </w:rPr>
  </w:style>
  <w:style w:type="paragraph" w:styleId="af1">
    <w:name w:val="annotation text"/>
    <w:basedOn w:val="a"/>
    <w:link w:val="af2"/>
    <w:uiPriority w:val="99"/>
    <w:semiHidden/>
    <w:unhideWhenUsed/>
    <w:rsid w:val="00DA3ED3"/>
    <w:pPr>
      <w:spacing w:line="240" w:lineRule="auto"/>
    </w:pPr>
    <w:rPr>
      <w:sz w:val="20"/>
      <w:szCs w:val="20"/>
    </w:rPr>
  </w:style>
  <w:style w:type="character" w:customStyle="1" w:styleId="af2">
    <w:name w:val="Текст примечания Знак"/>
    <w:basedOn w:val="a0"/>
    <w:link w:val="af1"/>
    <w:uiPriority w:val="99"/>
    <w:semiHidden/>
    <w:rsid w:val="00DA3ED3"/>
    <w:rPr>
      <w:rFonts w:ascii="Calibri" w:hAnsi="Calibri"/>
    </w:rPr>
  </w:style>
  <w:style w:type="paragraph" w:styleId="af3">
    <w:name w:val="annotation subject"/>
    <w:basedOn w:val="af1"/>
    <w:next w:val="af1"/>
    <w:link w:val="af4"/>
    <w:uiPriority w:val="99"/>
    <w:semiHidden/>
    <w:unhideWhenUsed/>
    <w:rsid w:val="00DA3ED3"/>
    <w:rPr>
      <w:b/>
      <w:bCs/>
    </w:rPr>
  </w:style>
  <w:style w:type="character" w:customStyle="1" w:styleId="af4">
    <w:name w:val="Тема примечания Знак"/>
    <w:basedOn w:val="af2"/>
    <w:link w:val="af3"/>
    <w:uiPriority w:val="99"/>
    <w:semiHidden/>
    <w:rsid w:val="00DA3ED3"/>
    <w:rPr>
      <w:rFonts w:ascii="Calibri" w:hAnsi="Calibri"/>
      <w:b/>
      <w:bCs/>
    </w:rPr>
  </w:style>
  <w:style w:type="character" w:styleId="af5">
    <w:name w:val="Hyperlink"/>
    <w:basedOn w:val="a0"/>
    <w:uiPriority w:val="99"/>
    <w:unhideWhenUsed/>
    <w:rsid w:val="005A5253"/>
    <w:rPr>
      <w:color w:val="0000FF" w:themeColor="hyperlink"/>
      <w:u w:val="single"/>
    </w:rPr>
  </w:style>
  <w:style w:type="paragraph" w:styleId="HTML">
    <w:name w:val="HTML Preformatted"/>
    <w:basedOn w:val="a"/>
    <w:link w:val="HTML0"/>
    <w:uiPriority w:val="99"/>
    <w:semiHidden/>
    <w:unhideWhenUsed/>
    <w:rsid w:val="00DE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DE12B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753">
      <w:bodyDiv w:val="1"/>
      <w:marLeft w:val="0"/>
      <w:marRight w:val="0"/>
      <w:marTop w:val="0"/>
      <w:marBottom w:val="0"/>
      <w:divBdr>
        <w:top w:val="none" w:sz="0" w:space="0" w:color="auto"/>
        <w:left w:val="none" w:sz="0" w:space="0" w:color="auto"/>
        <w:bottom w:val="none" w:sz="0" w:space="0" w:color="auto"/>
        <w:right w:val="none" w:sz="0" w:space="0" w:color="auto"/>
      </w:divBdr>
    </w:div>
    <w:div w:id="311063934">
      <w:bodyDiv w:val="1"/>
      <w:marLeft w:val="0"/>
      <w:marRight w:val="0"/>
      <w:marTop w:val="0"/>
      <w:marBottom w:val="0"/>
      <w:divBdr>
        <w:top w:val="none" w:sz="0" w:space="0" w:color="auto"/>
        <w:left w:val="none" w:sz="0" w:space="0" w:color="auto"/>
        <w:bottom w:val="none" w:sz="0" w:space="0" w:color="auto"/>
        <w:right w:val="none" w:sz="0" w:space="0" w:color="auto"/>
      </w:divBdr>
    </w:div>
    <w:div w:id="381908779">
      <w:bodyDiv w:val="1"/>
      <w:marLeft w:val="0"/>
      <w:marRight w:val="0"/>
      <w:marTop w:val="0"/>
      <w:marBottom w:val="0"/>
      <w:divBdr>
        <w:top w:val="none" w:sz="0" w:space="0" w:color="auto"/>
        <w:left w:val="none" w:sz="0" w:space="0" w:color="auto"/>
        <w:bottom w:val="none" w:sz="0" w:space="0" w:color="auto"/>
        <w:right w:val="none" w:sz="0" w:space="0" w:color="auto"/>
      </w:divBdr>
    </w:div>
    <w:div w:id="466437883">
      <w:bodyDiv w:val="1"/>
      <w:marLeft w:val="0"/>
      <w:marRight w:val="0"/>
      <w:marTop w:val="0"/>
      <w:marBottom w:val="0"/>
      <w:divBdr>
        <w:top w:val="none" w:sz="0" w:space="0" w:color="auto"/>
        <w:left w:val="none" w:sz="0" w:space="0" w:color="auto"/>
        <w:bottom w:val="none" w:sz="0" w:space="0" w:color="auto"/>
        <w:right w:val="none" w:sz="0" w:space="0" w:color="auto"/>
      </w:divBdr>
    </w:div>
    <w:div w:id="666399310">
      <w:bodyDiv w:val="1"/>
      <w:marLeft w:val="0"/>
      <w:marRight w:val="0"/>
      <w:marTop w:val="0"/>
      <w:marBottom w:val="0"/>
      <w:divBdr>
        <w:top w:val="none" w:sz="0" w:space="0" w:color="auto"/>
        <w:left w:val="none" w:sz="0" w:space="0" w:color="auto"/>
        <w:bottom w:val="none" w:sz="0" w:space="0" w:color="auto"/>
        <w:right w:val="none" w:sz="0" w:space="0" w:color="auto"/>
      </w:divBdr>
    </w:div>
    <w:div w:id="849610537">
      <w:bodyDiv w:val="1"/>
      <w:marLeft w:val="0"/>
      <w:marRight w:val="0"/>
      <w:marTop w:val="0"/>
      <w:marBottom w:val="0"/>
      <w:divBdr>
        <w:top w:val="none" w:sz="0" w:space="0" w:color="auto"/>
        <w:left w:val="none" w:sz="0" w:space="0" w:color="auto"/>
        <w:bottom w:val="none" w:sz="0" w:space="0" w:color="auto"/>
        <w:right w:val="none" w:sz="0" w:space="0" w:color="auto"/>
      </w:divBdr>
    </w:div>
    <w:div w:id="861867654">
      <w:bodyDiv w:val="1"/>
      <w:marLeft w:val="0"/>
      <w:marRight w:val="0"/>
      <w:marTop w:val="0"/>
      <w:marBottom w:val="0"/>
      <w:divBdr>
        <w:top w:val="none" w:sz="0" w:space="0" w:color="auto"/>
        <w:left w:val="none" w:sz="0" w:space="0" w:color="auto"/>
        <w:bottom w:val="none" w:sz="0" w:space="0" w:color="auto"/>
        <w:right w:val="none" w:sz="0" w:space="0" w:color="auto"/>
      </w:divBdr>
    </w:div>
    <w:div w:id="985470886">
      <w:bodyDiv w:val="1"/>
      <w:marLeft w:val="0"/>
      <w:marRight w:val="0"/>
      <w:marTop w:val="0"/>
      <w:marBottom w:val="0"/>
      <w:divBdr>
        <w:top w:val="none" w:sz="0" w:space="0" w:color="auto"/>
        <w:left w:val="none" w:sz="0" w:space="0" w:color="auto"/>
        <w:bottom w:val="none" w:sz="0" w:space="0" w:color="auto"/>
        <w:right w:val="none" w:sz="0" w:space="0" w:color="auto"/>
      </w:divBdr>
    </w:div>
    <w:div w:id="1113406867">
      <w:bodyDiv w:val="1"/>
      <w:marLeft w:val="0"/>
      <w:marRight w:val="0"/>
      <w:marTop w:val="0"/>
      <w:marBottom w:val="0"/>
      <w:divBdr>
        <w:top w:val="none" w:sz="0" w:space="0" w:color="auto"/>
        <w:left w:val="none" w:sz="0" w:space="0" w:color="auto"/>
        <w:bottom w:val="none" w:sz="0" w:space="0" w:color="auto"/>
        <w:right w:val="none" w:sz="0" w:space="0" w:color="auto"/>
      </w:divBdr>
    </w:div>
    <w:div w:id="1345520005">
      <w:bodyDiv w:val="1"/>
      <w:marLeft w:val="0"/>
      <w:marRight w:val="0"/>
      <w:marTop w:val="0"/>
      <w:marBottom w:val="0"/>
      <w:divBdr>
        <w:top w:val="none" w:sz="0" w:space="0" w:color="auto"/>
        <w:left w:val="none" w:sz="0" w:space="0" w:color="auto"/>
        <w:bottom w:val="none" w:sz="0" w:space="0" w:color="auto"/>
        <w:right w:val="none" w:sz="0" w:space="0" w:color="auto"/>
      </w:divBdr>
    </w:div>
    <w:div w:id="1544751268">
      <w:bodyDiv w:val="1"/>
      <w:marLeft w:val="0"/>
      <w:marRight w:val="0"/>
      <w:marTop w:val="0"/>
      <w:marBottom w:val="0"/>
      <w:divBdr>
        <w:top w:val="none" w:sz="0" w:space="0" w:color="auto"/>
        <w:left w:val="none" w:sz="0" w:space="0" w:color="auto"/>
        <w:bottom w:val="none" w:sz="0" w:space="0" w:color="auto"/>
        <w:right w:val="none" w:sz="0" w:space="0" w:color="auto"/>
      </w:divBdr>
    </w:div>
    <w:div w:id="1864904054">
      <w:bodyDiv w:val="1"/>
      <w:marLeft w:val="0"/>
      <w:marRight w:val="0"/>
      <w:marTop w:val="0"/>
      <w:marBottom w:val="0"/>
      <w:divBdr>
        <w:top w:val="none" w:sz="0" w:space="0" w:color="auto"/>
        <w:left w:val="none" w:sz="0" w:space="0" w:color="auto"/>
        <w:bottom w:val="none" w:sz="0" w:space="0" w:color="auto"/>
        <w:right w:val="none" w:sz="0" w:space="0" w:color="auto"/>
      </w:divBdr>
    </w:div>
    <w:div w:id="1888447035">
      <w:bodyDiv w:val="1"/>
      <w:marLeft w:val="0"/>
      <w:marRight w:val="0"/>
      <w:marTop w:val="0"/>
      <w:marBottom w:val="0"/>
      <w:divBdr>
        <w:top w:val="none" w:sz="0" w:space="0" w:color="auto"/>
        <w:left w:val="none" w:sz="0" w:space="0" w:color="auto"/>
        <w:bottom w:val="none" w:sz="0" w:space="0" w:color="auto"/>
        <w:right w:val="none" w:sz="0" w:space="0" w:color="auto"/>
      </w:divBdr>
    </w:div>
    <w:div w:id="1965501423">
      <w:bodyDiv w:val="1"/>
      <w:marLeft w:val="0"/>
      <w:marRight w:val="0"/>
      <w:marTop w:val="0"/>
      <w:marBottom w:val="0"/>
      <w:divBdr>
        <w:top w:val="none" w:sz="0" w:space="0" w:color="auto"/>
        <w:left w:val="none" w:sz="0" w:space="0" w:color="auto"/>
        <w:bottom w:val="none" w:sz="0" w:space="0" w:color="auto"/>
        <w:right w:val="none" w:sz="0" w:space="0" w:color="auto"/>
      </w:divBdr>
    </w:div>
    <w:div w:id="2018799465">
      <w:bodyDiv w:val="1"/>
      <w:marLeft w:val="0"/>
      <w:marRight w:val="0"/>
      <w:marTop w:val="0"/>
      <w:marBottom w:val="0"/>
      <w:divBdr>
        <w:top w:val="none" w:sz="0" w:space="0" w:color="auto"/>
        <w:left w:val="none" w:sz="0" w:space="0" w:color="auto"/>
        <w:bottom w:val="none" w:sz="0" w:space="0" w:color="auto"/>
        <w:right w:val="none" w:sz="0" w:space="0" w:color="auto"/>
      </w:divBdr>
    </w:div>
    <w:div w:id="2053647318">
      <w:bodyDiv w:val="1"/>
      <w:marLeft w:val="0"/>
      <w:marRight w:val="0"/>
      <w:marTop w:val="0"/>
      <w:marBottom w:val="0"/>
      <w:divBdr>
        <w:top w:val="none" w:sz="0" w:space="0" w:color="auto"/>
        <w:left w:val="none" w:sz="0" w:space="0" w:color="auto"/>
        <w:bottom w:val="none" w:sz="0" w:space="0" w:color="auto"/>
        <w:right w:val="none" w:sz="0" w:space="0" w:color="auto"/>
      </w:divBdr>
    </w:div>
    <w:div w:id="2077240416">
      <w:bodyDiv w:val="1"/>
      <w:marLeft w:val="0"/>
      <w:marRight w:val="0"/>
      <w:marTop w:val="0"/>
      <w:marBottom w:val="0"/>
      <w:divBdr>
        <w:top w:val="none" w:sz="0" w:space="0" w:color="auto"/>
        <w:left w:val="none" w:sz="0" w:space="0" w:color="auto"/>
        <w:bottom w:val="none" w:sz="0" w:space="0" w:color="auto"/>
        <w:right w:val="none" w:sz="0" w:space="0" w:color="auto"/>
      </w:divBdr>
    </w:div>
    <w:div w:id="21372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ess@nationalbank.kz"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66360225914169"/>
          <c:y val="0.16858477362912988"/>
          <c:w val="0.86558325076915055"/>
          <c:h val="0.61057788740667429"/>
        </c:manualLayout>
      </c:layout>
      <c:lineChart>
        <c:grouping val="standard"/>
        <c:varyColors val="0"/>
        <c:ser>
          <c:idx val="0"/>
          <c:order val="0"/>
          <c:tx>
            <c:strRef>
              <c:f>Лист1!$C$10</c:f>
              <c:strCache>
                <c:ptCount val="1"/>
                <c:pt idx="0">
                  <c:v>Инфляция, ж/ж</c:v>
                </c:pt>
              </c:strCache>
            </c:strRef>
          </c:tx>
          <c:spPr>
            <a:ln w="28575">
              <a:solidFill>
                <a:srgbClr val="003300"/>
              </a:solidFill>
            </a:ln>
          </c:spPr>
          <c:marker>
            <c:symbol val="none"/>
          </c:marker>
          <c:dLbls>
            <c:dLbl>
              <c:idx val="15"/>
              <c:layout>
                <c:manualLayout>
                  <c:x val="3.5148876258017415E-2"/>
                  <c:y val="-7.207527360966671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030-46B1-85AD-D6473B3B14E6}"/>
                </c:ext>
              </c:extLst>
            </c:dLbl>
            <c:spPr>
              <a:noFill/>
              <a:ln>
                <a:noFill/>
              </a:ln>
              <a:effectLst/>
            </c:sp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multiLvlStrRef>
              <c:f>Лист1!$A$11:$B$28</c:f>
              <c:multiLvlStrCache>
                <c:ptCount val="1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lvl>
                <c:lvl>
                  <c:pt idx="0">
                    <c:v>2016</c:v>
                  </c:pt>
                  <c:pt idx="12">
                    <c:v>2017</c:v>
                  </c:pt>
                </c:lvl>
              </c:multiLvlStrCache>
            </c:multiLvlStrRef>
          </c:cat>
          <c:val>
            <c:numRef>
              <c:f>Лист1!$C$11:$C$28</c:f>
              <c:numCache>
                <c:formatCode>0.0</c:formatCode>
                <c:ptCount val="18"/>
                <c:pt idx="0">
                  <c:v>14.400000000000006</c:v>
                </c:pt>
                <c:pt idx="1">
                  <c:v>15.200000000000003</c:v>
                </c:pt>
                <c:pt idx="2">
                  <c:v>15.700000000000003</c:v>
                </c:pt>
                <c:pt idx="3">
                  <c:v>16.299999999999997</c:v>
                </c:pt>
                <c:pt idx="4">
                  <c:v>16.700000000000003</c:v>
                </c:pt>
                <c:pt idx="5">
                  <c:v>17.3</c:v>
                </c:pt>
                <c:pt idx="6">
                  <c:v>17.7</c:v>
                </c:pt>
                <c:pt idx="7">
                  <c:v>17.600000000000001</c:v>
                </c:pt>
                <c:pt idx="8">
                  <c:v>16.600000000000001</c:v>
                </c:pt>
                <c:pt idx="9">
                  <c:v>11.5</c:v>
                </c:pt>
                <c:pt idx="10">
                  <c:v>8.6999999999999993</c:v>
                </c:pt>
                <c:pt idx="11">
                  <c:v>8.5</c:v>
                </c:pt>
                <c:pt idx="12">
                  <c:v>7.9</c:v>
                </c:pt>
                <c:pt idx="13">
                  <c:v>7.8</c:v>
                </c:pt>
                <c:pt idx="14">
                  <c:v>7.7</c:v>
                </c:pt>
                <c:pt idx="15">
                  <c:v>7.5</c:v>
                </c:pt>
                <c:pt idx="16">
                  <c:v>7.5</c:v>
                </c:pt>
                <c:pt idx="17">
                  <c:v>7.5</c:v>
                </c:pt>
              </c:numCache>
            </c:numRef>
          </c:val>
          <c:smooth val="0"/>
          <c:extLst xmlns:c16r2="http://schemas.microsoft.com/office/drawing/2015/06/chart">
            <c:ext xmlns:c16="http://schemas.microsoft.com/office/drawing/2014/chart" uri="{C3380CC4-5D6E-409C-BE32-E72D297353CC}">
              <c16:uniqueId val="{00000001-3030-46B1-85AD-D6473B3B14E6}"/>
            </c:ext>
          </c:extLst>
        </c:ser>
        <c:ser>
          <c:idx val="4"/>
          <c:order val="1"/>
          <c:tx>
            <c:strRef>
              <c:f>Лист1!$E$10</c:f>
              <c:strCache>
                <c:ptCount val="1"/>
                <c:pt idx="0">
                  <c:v>Күтілетін инфляция, ж/ж </c:v>
                </c:pt>
              </c:strCache>
            </c:strRef>
          </c:tx>
          <c:spPr>
            <a:ln>
              <a:solidFill>
                <a:srgbClr val="CC9900"/>
              </a:solidFill>
              <a:prstDash val="sysDash"/>
            </a:ln>
          </c:spPr>
          <c:marker>
            <c:symbol val="none"/>
          </c:marker>
          <c:dLbls>
            <c:dLbl>
              <c:idx val="15"/>
              <c:layout>
                <c:manualLayout>
                  <c:x val="5.2982521660150189E-2"/>
                  <c:y val="4.5285892705440804E-2"/>
                </c:manualLayout>
              </c:layout>
              <c:tx>
                <c:rich>
                  <a:bodyPr/>
                  <a:lstStyle/>
                  <a:p>
                    <a:r>
                      <a:rPr lang="en-US">
                        <a:solidFill>
                          <a:srgbClr val="CC9900"/>
                        </a:solidFill>
                      </a:rPr>
                      <a:t>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030-46B1-85AD-D6473B3B14E6}"/>
                </c:ext>
              </c:extLst>
            </c:dLbl>
            <c:spPr>
              <a:noFill/>
              <a:ln>
                <a:noFill/>
              </a:ln>
              <a:effectLst/>
            </c:spPr>
            <c:txPr>
              <a:bodyPr/>
              <a:lstStyle/>
              <a:p>
                <a:pPr>
                  <a:defRPr b="1" baseline="0">
                    <a:solidFill>
                      <a:srgbClr val="FFC000"/>
                    </a:solidFill>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multiLvlStrRef>
              <c:f>Лист1!$A$11:$B$28</c:f>
              <c:multiLvlStrCache>
                <c:ptCount val="1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lvl>
                <c:lvl>
                  <c:pt idx="0">
                    <c:v>2016</c:v>
                  </c:pt>
                  <c:pt idx="12">
                    <c:v>2017</c:v>
                  </c:pt>
                </c:lvl>
              </c:multiLvlStrCache>
            </c:multiLvlStrRef>
          </c:cat>
          <c:val>
            <c:numRef>
              <c:f>Лист1!$E$11:$E$28</c:f>
              <c:numCache>
                <c:formatCode>0.0</c:formatCode>
                <c:ptCount val="18"/>
                <c:pt idx="0">
                  <c:v>12.895324315071083</c:v>
                </c:pt>
                <c:pt idx="1">
                  <c:v>12.150220519561932</c:v>
                </c:pt>
                <c:pt idx="2">
                  <c:v>10.554020873070423</c:v>
                </c:pt>
                <c:pt idx="3">
                  <c:v>10.354794615381572</c:v>
                </c:pt>
                <c:pt idx="4">
                  <c:v>11.11100069438065</c:v>
                </c:pt>
                <c:pt idx="5">
                  <c:v>11.2</c:v>
                </c:pt>
                <c:pt idx="6">
                  <c:v>12.8</c:v>
                </c:pt>
                <c:pt idx="7">
                  <c:v>14.8</c:v>
                </c:pt>
                <c:pt idx="8">
                  <c:v>13.8278008306742</c:v>
                </c:pt>
                <c:pt idx="9">
                  <c:v>13.949231762046885</c:v>
                </c:pt>
                <c:pt idx="10">
                  <c:v>9.6865263045560646</c:v>
                </c:pt>
                <c:pt idx="11">
                  <c:v>7.5806148774029776</c:v>
                </c:pt>
                <c:pt idx="12">
                  <c:v>6.6291596739565222</c:v>
                </c:pt>
                <c:pt idx="13">
                  <c:v>5.9013421667257058</c:v>
                </c:pt>
                <c:pt idx="14">
                  <c:v>6.1168821863776381</c:v>
                </c:pt>
                <c:pt idx="15">
                  <c:v>6.4</c:v>
                </c:pt>
                <c:pt idx="16">
                  <c:v>6.1388897563689628</c:v>
                </c:pt>
                <c:pt idx="17">
                  <c:v>6.4</c:v>
                </c:pt>
              </c:numCache>
            </c:numRef>
          </c:val>
          <c:smooth val="0"/>
          <c:extLst xmlns:c16r2="http://schemas.microsoft.com/office/drawing/2015/06/chart">
            <c:ext xmlns:c16="http://schemas.microsoft.com/office/drawing/2014/chart" uri="{C3380CC4-5D6E-409C-BE32-E72D297353CC}">
              <c16:uniqueId val="{00000003-3030-46B1-85AD-D6473B3B14E6}"/>
            </c:ext>
          </c:extLst>
        </c:ser>
        <c:dLbls>
          <c:showLegendKey val="0"/>
          <c:showVal val="0"/>
          <c:showCatName val="0"/>
          <c:showSerName val="0"/>
          <c:showPercent val="0"/>
          <c:showBubbleSize val="0"/>
        </c:dLbls>
        <c:marker val="1"/>
        <c:smooth val="0"/>
        <c:axId val="239646208"/>
        <c:axId val="217501056"/>
      </c:lineChart>
      <c:catAx>
        <c:axId val="239646208"/>
        <c:scaling>
          <c:orientation val="minMax"/>
        </c:scaling>
        <c:delete val="0"/>
        <c:axPos val="b"/>
        <c:numFmt formatCode="General" sourceLinked="0"/>
        <c:majorTickMark val="out"/>
        <c:minorTickMark val="none"/>
        <c:tickLblPos val="nextTo"/>
        <c:crossAx val="217501056"/>
        <c:crosses val="autoZero"/>
        <c:auto val="1"/>
        <c:lblAlgn val="ctr"/>
        <c:lblOffset val="100"/>
        <c:noMultiLvlLbl val="0"/>
      </c:catAx>
      <c:valAx>
        <c:axId val="217501056"/>
        <c:scaling>
          <c:orientation val="minMax"/>
          <c:max val="20"/>
          <c:min val="4"/>
        </c:scaling>
        <c:delete val="0"/>
        <c:axPos val="l"/>
        <c:majorGridlines>
          <c:spPr>
            <a:ln>
              <a:prstDash val="dash"/>
            </a:ln>
          </c:spPr>
        </c:majorGridlines>
        <c:title>
          <c:tx>
            <c:rich>
              <a:bodyPr rot="0" vert="horz"/>
              <a:lstStyle/>
              <a:p>
                <a:pPr>
                  <a:defRPr/>
                </a:pPr>
                <a:r>
                  <a:rPr lang="ru-RU"/>
                  <a:t>%</a:t>
                </a:r>
              </a:p>
            </c:rich>
          </c:tx>
          <c:layout>
            <c:manualLayout>
              <c:xMode val="edge"/>
              <c:yMode val="edge"/>
              <c:x val="4.0804051475944361E-2"/>
              <c:y val="4.4661339338153763E-2"/>
            </c:manualLayout>
          </c:layout>
          <c:overlay val="0"/>
        </c:title>
        <c:numFmt formatCode="0" sourceLinked="0"/>
        <c:majorTickMark val="out"/>
        <c:minorTickMark val="none"/>
        <c:tickLblPos val="nextTo"/>
        <c:crossAx val="239646208"/>
        <c:crosses val="autoZero"/>
        <c:crossBetween val="between"/>
        <c:majorUnit val="2"/>
      </c:valAx>
    </c:plotArea>
    <c:legend>
      <c:legendPos val="t"/>
      <c:layout>
        <c:manualLayout>
          <c:xMode val="edge"/>
          <c:yMode val="edge"/>
          <c:x val="0.39717507748135672"/>
          <c:y val="3.0950170225936241E-2"/>
          <c:w val="0.58026431718061677"/>
          <c:h val="0.15377489578508569"/>
        </c:manualLayout>
      </c:layout>
      <c:overlay val="0"/>
    </c:legend>
    <c:plotVisOnly val="1"/>
    <c:dispBlanksAs val="gap"/>
    <c:showDLblsOverMax val="0"/>
  </c:chart>
  <c:spPr>
    <a:ln>
      <a:noFill/>
    </a:ln>
  </c:spPr>
  <c:txPr>
    <a:bodyPr/>
    <a:lstStyle/>
    <a:p>
      <a:pPr>
        <a:defRPr sz="1200">
          <a:latin typeface="+mn-lt"/>
          <a:cs typeface="Arial" panose="020B0604020202020204" pitchFamily="34"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825856207541571E-2"/>
          <c:y val="4.400733195445649E-2"/>
          <c:w val="0.89280616231717425"/>
          <c:h val="0.72428642811285815"/>
        </c:manualLayout>
      </c:layout>
      <c:areaChart>
        <c:grouping val="stacked"/>
        <c:varyColors val="0"/>
        <c:ser>
          <c:idx val="2"/>
          <c:order val="2"/>
          <c:tx>
            <c:strRef>
              <c:f>Лист1!$D$1</c:f>
              <c:strCache>
                <c:ptCount val="1"/>
                <c:pt idx="0">
                  <c:v>нижняя граница коридора</c:v>
                </c:pt>
              </c:strCache>
            </c:strRef>
          </c:tx>
          <c:spPr>
            <a:noFill/>
            <a:ln>
              <a:noFill/>
            </a:ln>
          </c:spPr>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Лист1!$D$2:$D$693</c:f>
              <c:numCache>
                <c:formatCode>General</c:formatCode>
                <c:ptCount val="692"/>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7</c:v>
                </c:pt>
                <c:pt idx="19">
                  <c:v>7</c:v>
                </c:pt>
                <c:pt idx="20">
                  <c:v>7</c:v>
                </c:pt>
                <c:pt idx="21">
                  <c:v>7</c:v>
                </c:pt>
                <c:pt idx="22">
                  <c:v>7</c:v>
                </c:pt>
                <c:pt idx="23">
                  <c:v>7</c:v>
                </c:pt>
                <c:pt idx="24">
                  <c:v>7</c:v>
                </c:pt>
                <c:pt idx="25">
                  <c:v>7</c:v>
                </c:pt>
                <c:pt idx="26">
                  <c:v>7</c:v>
                </c:pt>
                <c:pt idx="27">
                  <c:v>7</c:v>
                </c:pt>
                <c:pt idx="28">
                  <c:v>7</c:v>
                </c:pt>
                <c:pt idx="29">
                  <c:v>7</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15</c:v>
                </c:pt>
                <c:pt idx="167">
                  <c:v>15</c:v>
                </c:pt>
                <c:pt idx="168">
                  <c:v>15</c:v>
                </c:pt>
                <c:pt idx="169">
                  <c:v>15</c:v>
                </c:pt>
                <c:pt idx="170">
                  <c:v>15</c:v>
                </c:pt>
                <c:pt idx="171">
                  <c:v>15</c:v>
                </c:pt>
                <c:pt idx="172">
                  <c:v>15</c:v>
                </c:pt>
                <c:pt idx="173">
                  <c:v>15</c:v>
                </c:pt>
                <c:pt idx="174">
                  <c:v>15</c:v>
                </c:pt>
                <c:pt idx="175">
                  <c:v>15</c:v>
                </c:pt>
                <c:pt idx="176">
                  <c:v>15</c:v>
                </c:pt>
                <c:pt idx="177">
                  <c:v>15</c:v>
                </c:pt>
                <c:pt idx="178">
                  <c:v>15</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15</c:v>
                </c:pt>
                <c:pt idx="192">
                  <c:v>15</c:v>
                </c:pt>
                <c:pt idx="193">
                  <c:v>15</c:v>
                </c:pt>
                <c:pt idx="194">
                  <c:v>15</c:v>
                </c:pt>
                <c:pt idx="195">
                  <c:v>15</c:v>
                </c:pt>
                <c:pt idx="196">
                  <c:v>15</c:v>
                </c:pt>
                <c:pt idx="197">
                  <c:v>15</c:v>
                </c:pt>
                <c:pt idx="198">
                  <c:v>15</c:v>
                </c:pt>
                <c:pt idx="199">
                  <c:v>15</c:v>
                </c:pt>
                <c:pt idx="200">
                  <c:v>15</c:v>
                </c:pt>
                <c:pt idx="201">
                  <c:v>15</c:v>
                </c:pt>
                <c:pt idx="202">
                  <c:v>15</c:v>
                </c:pt>
                <c:pt idx="203">
                  <c:v>15</c:v>
                </c:pt>
                <c:pt idx="204">
                  <c:v>15</c:v>
                </c:pt>
                <c:pt idx="205">
                  <c:v>15</c:v>
                </c:pt>
                <c:pt idx="206">
                  <c:v>15</c:v>
                </c:pt>
                <c:pt idx="207">
                  <c:v>15</c:v>
                </c:pt>
                <c:pt idx="208">
                  <c:v>15</c:v>
                </c:pt>
                <c:pt idx="209">
                  <c:v>15</c:v>
                </c:pt>
                <c:pt idx="210">
                  <c:v>15</c:v>
                </c:pt>
                <c:pt idx="211">
                  <c:v>15</c:v>
                </c:pt>
                <c:pt idx="212">
                  <c:v>15</c:v>
                </c:pt>
                <c:pt idx="213">
                  <c:v>15</c:v>
                </c:pt>
                <c:pt idx="214">
                  <c:v>15</c:v>
                </c:pt>
                <c:pt idx="215">
                  <c:v>15</c:v>
                </c:pt>
                <c:pt idx="216">
                  <c:v>15</c:v>
                </c:pt>
                <c:pt idx="217">
                  <c:v>15</c:v>
                </c:pt>
                <c:pt idx="218">
                  <c:v>15</c:v>
                </c:pt>
                <c:pt idx="219">
                  <c:v>15</c:v>
                </c:pt>
                <c:pt idx="220">
                  <c:v>15</c:v>
                </c:pt>
                <c:pt idx="221">
                  <c:v>15</c:v>
                </c:pt>
                <c:pt idx="222">
                  <c:v>15</c:v>
                </c:pt>
                <c:pt idx="223">
                  <c:v>15</c:v>
                </c:pt>
                <c:pt idx="224">
                  <c:v>15</c:v>
                </c:pt>
                <c:pt idx="225">
                  <c:v>15</c:v>
                </c:pt>
                <c:pt idx="226">
                  <c:v>15</c:v>
                </c:pt>
                <c:pt idx="227">
                  <c:v>15</c:v>
                </c:pt>
                <c:pt idx="228">
                  <c:v>15</c:v>
                </c:pt>
                <c:pt idx="229">
                  <c:v>15</c:v>
                </c:pt>
                <c:pt idx="230">
                  <c:v>15</c:v>
                </c:pt>
                <c:pt idx="231">
                  <c:v>15</c:v>
                </c:pt>
                <c:pt idx="232">
                  <c:v>15</c:v>
                </c:pt>
                <c:pt idx="233">
                  <c:v>15</c:v>
                </c:pt>
                <c:pt idx="234">
                  <c:v>15</c:v>
                </c:pt>
                <c:pt idx="235">
                  <c:v>15</c:v>
                </c:pt>
                <c:pt idx="236">
                  <c:v>15</c:v>
                </c:pt>
                <c:pt idx="237">
                  <c:v>15</c:v>
                </c:pt>
                <c:pt idx="238">
                  <c:v>15</c:v>
                </c:pt>
                <c:pt idx="239">
                  <c:v>15</c:v>
                </c:pt>
                <c:pt idx="240">
                  <c:v>15</c:v>
                </c:pt>
                <c:pt idx="241">
                  <c:v>15</c:v>
                </c:pt>
                <c:pt idx="242">
                  <c:v>15</c:v>
                </c:pt>
                <c:pt idx="243">
                  <c:v>15</c:v>
                </c:pt>
                <c:pt idx="244">
                  <c:v>15</c:v>
                </c:pt>
                <c:pt idx="245">
                  <c:v>15</c:v>
                </c:pt>
                <c:pt idx="246">
                  <c:v>15</c:v>
                </c:pt>
                <c:pt idx="247">
                  <c:v>14</c:v>
                </c:pt>
                <c:pt idx="248">
                  <c:v>14</c:v>
                </c:pt>
                <c:pt idx="249">
                  <c:v>14</c:v>
                </c:pt>
                <c:pt idx="250">
                  <c:v>14</c:v>
                </c:pt>
                <c:pt idx="251">
                  <c:v>14</c:v>
                </c:pt>
                <c:pt idx="252">
                  <c:v>14</c:v>
                </c:pt>
                <c:pt idx="253">
                  <c:v>14</c:v>
                </c:pt>
                <c:pt idx="254">
                  <c:v>14</c:v>
                </c:pt>
                <c:pt idx="255">
                  <c:v>14</c:v>
                </c:pt>
                <c:pt idx="256">
                  <c:v>14</c:v>
                </c:pt>
                <c:pt idx="257">
                  <c:v>14</c:v>
                </c:pt>
                <c:pt idx="258">
                  <c:v>14</c:v>
                </c:pt>
                <c:pt idx="259">
                  <c:v>14</c:v>
                </c:pt>
                <c:pt idx="260">
                  <c:v>14</c:v>
                </c:pt>
                <c:pt idx="261">
                  <c:v>14</c:v>
                </c:pt>
                <c:pt idx="262">
                  <c:v>14</c:v>
                </c:pt>
                <c:pt idx="263">
                  <c:v>14</c:v>
                </c:pt>
                <c:pt idx="264">
                  <c:v>14</c:v>
                </c:pt>
                <c:pt idx="265">
                  <c:v>14</c:v>
                </c:pt>
                <c:pt idx="266">
                  <c:v>14</c:v>
                </c:pt>
                <c:pt idx="267">
                  <c:v>14</c:v>
                </c:pt>
                <c:pt idx="268">
                  <c:v>14</c:v>
                </c:pt>
                <c:pt idx="269">
                  <c:v>14</c:v>
                </c:pt>
                <c:pt idx="270">
                  <c:v>14</c:v>
                </c:pt>
                <c:pt idx="271">
                  <c:v>14</c:v>
                </c:pt>
                <c:pt idx="272">
                  <c:v>14</c:v>
                </c:pt>
                <c:pt idx="273">
                  <c:v>14</c:v>
                </c:pt>
                <c:pt idx="274">
                  <c:v>14</c:v>
                </c:pt>
                <c:pt idx="275">
                  <c:v>14</c:v>
                </c:pt>
                <c:pt idx="276">
                  <c:v>14</c:v>
                </c:pt>
                <c:pt idx="277">
                  <c:v>14</c:v>
                </c:pt>
                <c:pt idx="278">
                  <c:v>14</c:v>
                </c:pt>
                <c:pt idx="279">
                  <c:v>14</c:v>
                </c:pt>
                <c:pt idx="280">
                  <c:v>14</c:v>
                </c:pt>
                <c:pt idx="281">
                  <c:v>14</c:v>
                </c:pt>
                <c:pt idx="282">
                  <c:v>14</c:v>
                </c:pt>
                <c:pt idx="283">
                  <c:v>14</c:v>
                </c:pt>
                <c:pt idx="284">
                  <c:v>14</c:v>
                </c:pt>
                <c:pt idx="285">
                  <c:v>14</c:v>
                </c:pt>
                <c:pt idx="286">
                  <c:v>14</c:v>
                </c:pt>
                <c:pt idx="287">
                  <c:v>14</c:v>
                </c:pt>
                <c:pt idx="288">
                  <c:v>14</c:v>
                </c:pt>
                <c:pt idx="289">
                  <c:v>14</c:v>
                </c:pt>
                <c:pt idx="290">
                  <c:v>14</c:v>
                </c:pt>
                <c:pt idx="291">
                  <c:v>14</c:v>
                </c:pt>
                <c:pt idx="292">
                  <c:v>14</c:v>
                </c:pt>
                <c:pt idx="293">
                  <c:v>14</c:v>
                </c:pt>
                <c:pt idx="294">
                  <c:v>14</c:v>
                </c:pt>
                <c:pt idx="295">
                  <c:v>14</c:v>
                </c:pt>
                <c:pt idx="296">
                  <c:v>14</c:v>
                </c:pt>
                <c:pt idx="297">
                  <c:v>14</c:v>
                </c:pt>
                <c:pt idx="298">
                  <c:v>14</c:v>
                </c:pt>
                <c:pt idx="299">
                  <c:v>14</c:v>
                </c:pt>
                <c:pt idx="300">
                  <c:v>14</c:v>
                </c:pt>
                <c:pt idx="301">
                  <c:v>14</c:v>
                </c:pt>
                <c:pt idx="302">
                  <c:v>14</c:v>
                </c:pt>
                <c:pt idx="303">
                  <c:v>14</c:v>
                </c:pt>
                <c:pt idx="304">
                  <c:v>14</c:v>
                </c:pt>
                <c:pt idx="305">
                  <c:v>14</c:v>
                </c:pt>
                <c:pt idx="306">
                  <c:v>14</c:v>
                </c:pt>
                <c:pt idx="307">
                  <c:v>14</c:v>
                </c:pt>
                <c:pt idx="308">
                  <c:v>14</c:v>
                </c:pt>
                <c:pt idx="309">
                  <c:v>14</c:v>
                </c:pt>
                <c:pt idx="310">
                  <c:v>14</c:v>
                </c:pt>
                <c:pt idx="311">
                  <c:v>14</c:v>
                </c:pt>
                <c:pt idx="312">
                  <c:v>14</c:v>
                </c:pt>
                <c:pt idx="313">
                  <c:v>14</c:v>
                </c:pt>
                <c:pt idx="314">
                  <c:v>12</c:v>
                </c:pt>
                <c:pt idx="315">
                  <c:v>12</c:v>
                </c:pt>
                <c:pt idx="316">
                  <c:v>12</c:v>
                </c:pt>
                <c:pt idx="317">
                  <c:v>12</c:v>
                </c:pt>
                <c:pt idx="318">
                  <c:v>12</c:v>
                </c:pt>
                <c:pt idx="319">
                  <c:v>12</c:v>
                </c:pt>
                <c:pt idx="320">
                  <c:v>12</c:v>
                </c:pt>
                <c:pt idx="321">
                  <c:v>12</c:v>
                </c:pt>
                <c:pt idx="322">
                  <c:v>12</c:v>
                </c:pt>
                <c:pt idx="323">
                  <c:v>12</c:v>
                </c:pt>
                <c:pt idx="324">
                  <c:v>12</c:v>
                </c:pt>
                <c:pt idx="325">
                  <c:v>12</c:v>
                </c:pt>
                <c:pt idx="326">
                  <c:v>12</c:v>
                </c:pt>
                <c:pt idx="327">
                  <c:v>12</c:v>
                </c:pt>
                <c:pt idx="328">
                  <c:v>12</c:v>
                </c:pt>
                <c:pt idx="329">
                  <c:v>12</c:v>
                </c:pt>
                <c:pt idx="330">
                  <c:v>12</c:v>
                </c:pt>
                <c:pt idx="331">
                  <c:v>12</c:v>
                </c:pt>
                <c:pt idx="332">
                  <c:v>12</c:v>
                </c:pt>
                <c:pt idx="333">
                  <c:v>12</c:v>
                </c:pt>
                <c:pt idx="334">
                  <c:v>12</c:v>
                </c:pt>
                <c:pt idx="335">
                  <c:v>12</c:v>
                </c:pt>
                <c:pt idx="336">
                  <c:v>12</c:v>
                </c:pt>
                <c:pt idx="337">
                  <c:v>12</c:v>
                </c:pt>
                <c:pt idx="338">
                  <c:v>12</c:v>
                </c:pt>
                <c:pt idx="339">
                  <c:v>12</c:v>
                </c:pt>
                <c:pt idx="340">
                  <c:v>12</c:v>
                </c:pt>
                <c:pt idx="341">
                  <c:v>12</c:v>
                </c:pt>
                <c:pt idx="342">
                  <c:v>12</c:v>
                </c:pt>
                <c:pt idx="343">
                  <c:v>12</c:v>
                </c:pt>
                <c:pt idx="344">
                  <c:v>12</c:v>
                </c:pt>
                <c:pt idx="345">
                  <c:v>12</c:v>
                </c:pt>
                <c:pt idx="346">
                  <c:v>12</c:v>
                </c:pt>
                <c:pt idx="347">
                  <c:v>12</c:v>
                </c:pt>
                <c:pt idx="348">
                  <c:v>12</c:v>
                </c:pt>
                <c:pt idx="349">
                  <c:v>12</c:v>
                </c:pt>
                <c:pt idx="350">
                  <c:v>12</c:v>
                </c:pt>
                <c:pt idx="351">
                  <c:v>12</c:v>
                </c:pt>
                <c:pt idx="352">
                  <c:v>12</c:v>
                </c:pt>
                <c:pt idx="353">
                  <c:v>12</c:v>
                </c:pt>
                <c:pt idx="354">
                  <c:v>12</c:v>
                </c:pt>
                <c:pt idx="355">
                  <c:v>12</c:v>
                </c:pt>
                <c:pt idx="356">
                  <c:v>12</c:v>
                </c:pt>
                <c:pt idx="357">
                  <c:v>12</c:v>
                </c:pt>
                <c:pt idx="358">
                  <c:v>12</c:v>
                </c:pt>
                <c:pt idx="359">
                  <c:v>12</c:v>
                </c:pt>
                <c:pt idx="360">
                  <c:v>12</c:v>
                </c:pt>
                <c:pt idx="361">
                  <c:v>12</c:v>
                </c:pt>
                <c:pt idx="362">
                  <c:v>12</c:v>
                </c:pt>
                <c:pt idx="363">
                  <c:v>12</c:v>
                </c:pt>
                <c:pt idx="364">
                  <c:v>12</c:v>
                </c:pt>
                <c:pt idx="365">
                  <c:v>12</c:v>
                </c:pt>
                <c:pt idx="366">
                  <c:v>12</c:v>
                </c:pt>
                <c:pt idx="367">
                  <c:v>12</c:v>
                </c:pt>
                <c:pt idx="368">
                  <c:v>12</c:v>
                </c:pt>
                <c:pt idx="369">
                  <c:v>12</c:v>
                </c:pt>
                <c:pt idx="370">
                  <c:v>12</c:v>
                </c:pt>
                <c:pt idx="371">
                  <c:v>12</c:v>
                </c:pt>
                <c:pt idx="372">
                  <c:v>12</c:v>
                </c:pt>
                <c:pt idx="373">
                  <c:v>12</c:v>
                </c:pt>
                <c:pt idx="374">
                  <c:v>12</c:v>
                </c:pt>
                <c:pt idx="375">
                  <c:v>12</c:v>
                </c:pt>
                <c:pt idx="376">
                  <c:v>12</c:v>
                </c:pt>
                <c:pt idx="377">
                  <c:v>12</c:v>
                </c:pt>
                <c:pt idx="378">
                  <c:v>12</c:v>
                </c:pt>
                <c:pt idx="379">
                  <c:v>12</c:v>
                </c:pt>
                <c:pt idx="380">
                  <c:v>12</c:v>
                </c:pt>
                <c:pt idx="381">
                  <c:v>12</c:v>
                </c:pt>
                <c:pt idx="382">
                  <c:v>12</c:v>
                </c:pt>
                <c:pt idx="383">
                  <c:v>12</c:v>
                </c:pt>
                <c:pt idx="384">
                  <c:v>12</c:v>
                </c:pt>
                <c:pt idx="385">
                  <c:v>12</c:v>
                </c:pt>
                <c:pt idx="386">
                  <c:v>12</c:v>
                </c:pt>
                <c:pt idx="387">
                  <c:v>12</c:v>
                </c:pt>
                <c:pt idx="388">
                  <c:v>12</c:v>
                </c:pt>
                <c:pt idx="389">
                  <c:v>12</c:v>
                </c:pt>
                <c:pt idx="390">
                  <c:v>12</c:v>
                </c:pt>
                <c:pt idx="391">
                  <c:v>12</c:v>
                </c:pt>
                <c:pt idx="392">
                  <c:v>12</c:v>
                </c:pt>
                <c:pt idx="393">
                  <c:v>12</c:v>
                </c:pt>
                <c:pt idx="394">
                  <c:v>12</c:v>
                </c:pt>
                <c:pt idx="395">
                  <c:v>12</c:v>
                </c:pt>
                <c:pt idx="396">
                  <c:v>12</c:v>
                </c:pt>
                <c:pt idx="397">
                  <c:v>12</c:v>
                </c:pt>
                <c:pt idx="398">
                  <c:v>11.5</c:v>
                </c:pt>
                <c:pt idx="399">
                  <c:v>11.5</c:v>
                </c:pt>
                <c:pt idx="400">
                  <c:v>11.5</c:v>
                </c:pt>
                <c:pt idx="401">
                  <c:v>11.5</c:v>
                </c:pt>
                <c:pt idx="402">
                  <c:v>11.5</c:v>
                </c:pt>
                <c:pt idx="403">
                  <c:v>11.5</c:v>
                </c:pt>
                <c:pt idx="404">
                  <c:v>11.5</c:v>
                </c:pt>
                <c:pt idx="405">
                  <c:v>11.5</c:v>
                </c:pt>
                <c:pt idx="406">
                  <c:v>11.5</c:v>
                </c:pt>
                <c:pt idx="407">
                  <c:v>11.5</c:v>
                </c:pt>
                <c:pt idx="408">
                  <c:v>11.5</c:v>
                </c:pt>
                <c:pt idx="409">
                  <c:v>11.5</c:v>
                </c:pt>
                <c:pt idx="410">
                  <c:v>11.5</c:v>
                </c:pt>
                <c:pt idx="411">
                  <c:v>11.5</c:v>
                </c:pt>
                <c:pt idx="412">
                  <c:v>11.5</c:v>
                </c:pt>
                <c:pt idx="413">
                  <c:v>11.5</c:v>
                </c:pt>
                <c:pt idx="414">
                  <c:v>11.5</c:v>
                </c:pt>
                <c:pt idx="415">
                  <c:v>11.5</c:v>
                </c:pt>
                <c:pt idx="416">
                  <c:v>11.5</c:v>
                </c:pt>
                <c:pt idx="417">
                  <c:v>11.5</c:v>
                </c:pt>
                <c:pt idx="418">
                  <c:v>11.5</c:v>
                </c:pt>
                <c:pt idx="419">
                  <c:v>11.5</c:v>
                </c:pt>
                <c:pt idx="420">
                  <c:v>11.5</c:v>
                </c:pt>
                <c:pt idx="421">
                  <c:v>11.5</c:v>
                </c:pt>
                <c:pt idx="422">
                  <c:v>11.5</c:v>
                </c:pt>
                <c:pt idx="423">
                  <c:v>11.5</c:v>
                </c:pt>
                <c:pt idx="424">
                  <c:v>11.5</c:v>
                </c:pt>
                <c:pt idx="425">
                  <c:v>11.5</c:v>
                </c:pt>
                <c:pt idx="426">
                  <c:v>11.5</c:v>
                </c:pt>
                <c:pt idx="427">
                  <c:v>11.5</c:v>
                </c:pt>
                <c:pt idx="428">
                  <c:v>11.5</c:v>
                </c:pt>
                <c:pt idx="429">
                  <c:v>11.5</c:v>
                </c:pt>
                <c:pt idx="430">
                  <c:v>11.5</c:v>
                </c:pt>
                <c:pt idx="431">
                  <c:v>11.5</c:v>
                </c:pt>
                <c:pt idx="432">
                  <c:v>11.5</c:v>
                </c:pt>
                <c:pt idx="433">
                  <c:v>11.5</c:v>
                </c:pt>
                <c:pt idx="434">
                  <c:v>11.5</c:v>
                </c:pt>
                <c:pt idx="435">
                  <c:v>11.5</c:v>
                </c:pt>
                <c:pt idx="436">
                  <c:v>11.5</c:v>
                </c:pt>
                <c:pt idx="437">
                  <c:v>11.5</c:v>
                </c:pt>
                <c:pt idx="438">
                  <c:v>11.5</c:v>
                </c:pt>
                <c:pt idx="439">
                  <c:v>11.5</c:v>
                </c:pt>
                <c:pt idx="440">
                  <c:v>11</c:v>
                </c:pt>
                <c:pt idx="441">
                  <c:v>11</c:v>
                </c:pt>
                <c:pt idx="442">
                  <c:v>11</c:v>
                </c:pt>
                <c:pt idx="443">
                  <c:v>11</c:v>
                </c:pt>
                <c:pt idx="444">
                  <c:v>11</c:v>
                </c:pt>
                <c:pt idx="445">
                  <c:v>11</c:v>
                </c:pt>
                <c:pt idx="446">
                  <c:v>11</c:v>
                </c:pt>
                <c:pt idx="447">
                  <c:v>11</c:v>
                </c:pt>
                <c:pt idx="448">
                  <c:v>11</c:v>
                </c:pt>
                <c:pt idx="449">
                  <c:v>11</c:v>
                </c:pt>
                <c:pt idx="450">
                  <c:v>11</c:v>
                </c:pt>
                <c:pt idx="451">
                  <c:v>11</c:v>
                </c:pt>
                <c:pt idx="452">
                  <c:v>11</c:v>
                </c:pt>
                <c:pt idx="453">
                  <c:v>11</c:v>
                </c:pt>
                <c:pt idx="454">
                  <c:v>11</c:v>
                </c:pt>
                <c:pt idx="455">
                  <c:v>11</c:v>
                </c:pt>
                <c:pt idx="456">
                  <c:v>11</c:v>
                </c:pt>
                <c:pt idx="457">
                  <c:v>11</c:v>
                </c:pt>
                <c:pt idx="458">
                  <c:v>11</c:v>
                </c:pt>
                <c:pt idx="459">
                  <c:v>11</c:v>
                </c:pt>
                <c:pt idx="460">
                  <c:v>11</c:v>
                </c:pt>
                <c:pt idx="461">
                  <c:v>11</c:v>
                </c:pt>
                <c:pt idx="462">
                  <c:v>11</c:v>
                </c:pt>
                <c:pt idx="463">
                  <c:v>11</c:v>
                </c:pt>
                <c:pt idx="464">
                  <c:v>11</c:v>
                </c:pt>
                <c:pt idx="465">
                  <c:v>11</c:v>
                </c:pt>
                <c:pt idx="466">
                  <c:v>11</c:v>
                </c:pt>
                <c:pt idx="467">
                  <c:v>11</c:v>
                </c:pt>
                <c:pt idx="468">
                  <c:v>11</c:v>
                </c:pt>
                <c:pt idx="469">
                  <c:v>11</c:v>
                </c:pt>
                <c:pt idx="470">
                  <c:v>11</c:v>
                </c:pt>
                <c:pt idx="471">
                  <c:v>11</c:v>
                </c:pt>
                <c:pt idx="472">
                  <c:v>11</c:v>
                </c:pt>
                <c:pt idx="473">
                  <c:v>11</c:v>
                </c:pt>
                <c:pt idx="474">
                  <c:v>11</c:v>
                </c:pt>
                <c:pt idx="475">
                  <c:v>11</c:v>
                </c:pt>
                <c:pt idx="476">
                  <c:v>11</c:v>
                </c:pt>
                <c:pt idx="477">
                  <c:v>11</c:v>
                </c:pt>
                <c:pt idx="478">
                  <c:v>11</c:v>
                </c:pt>
                <c:pt idx="479">
                  <c:v>11</c:v>
                </c:pt>
                <c:pt idx="480">
                  <c:v>11</c:v>
                </c:pt>
                <c:pt idx="481">
                  <c:v>11</c:v>
                </c:pt>
                <c:pt idx="482">
                  <c:v>11</c:v>
                </c:pt>
                <c:pt idx="483">
                  <c:v>11</c:v>
                </c:pt>
                <c:pt idx="484">
                  <c:v>11</c:v>
                </c:pt>
                <c:pt idx="485">
                  <c:v>11</c:v>
                </c:pt>
                <c:pt idx="486">
                  <c:v>11</c:v>
                </c:pt>
                <c:pt idx="487">
                  <c:v>11</c:v>
                </c:pt>
                <c:pt idx="488">
                  <c:v>11</c:v>
                </c:pt>
                <c:pt idx="489">
                  <c:v>11</c:v>
                </c:pt>
                <c:pt idx="490">
                  <c:v>11</c:v>
                </c:pt>
                <c:pt idx="491">
                  <c:v>11</c:v>
                </c:pt>
                <c:pt idx="492">
                  <c:v>11</c:v>
                </c:pt>
                <c:pt idx="493">
                  <c:v>11</c:v>
                </c:pt>
                <c:pt idx="494">
                  <c:v>11</c:v>
                </c:pt>
                <c:pt idx="495">
                  <c:v>11</c:v>
                </c:pt>
                <c:pt idx="496">
                  <c:v>11</c:v>
                </c:pt>
                <c:pt idx="497">
                  <c:v>11</c:v>
                </c:pt>
                <c:pt idx="498">
                  <c:v>11</c:v>
                </c:pt>
                <c:pt idx="499">
                  <c:v>11</c:v>
                </c:pt>
                <c:pt idx="500">
                  <c:v>11</c:v>
                </c:pt>
                <c:pt idx="501">
                  <c:v>11</c:v>
                </c:pt>
                <c:pt idx="502">
                  <c:v>11</c:v>
                </c:pt>
                <c:pt idx="503">
                  <c:v>11</c:v>
                </c:pt>
                <c:pt idx="504">
                  <c:v>11</c:v>
                </c:pt>
                <c:pt idx="505">
                  <c:v>11</c:v>
                </c:pt>
                <c:pt idx="506">
                  <c:v>11</c:v>
                </c:pt>
                <c:pt idx="507">
                  <c:v>11</c:v>
                </c:pt>
                <c:pt idx="508">
                  <c:v>11</c:v>
                </c:pt>
                <c:pt idx="509">
                  <c:v>11</c:v>
                </c:pt>
                <c:pt idx="510">
                  <c:v>11</c:v>
                </c:pt>
                <c:pt idx="511">
                  <c:v>11</c:v>
                </c:pt>
                <c:pt idx="512">
                  <c:v>11</c:v>
                </c:pt>
                <c:pt idx="513">
                  <c:v>11</c:v>
                </c:pt>
                <c:pt idx="514">
                  <c:v>11</c:v>
                </c:pt>
                <c:pt idx="515">
                  <c:v>11</c:v>
                </c:pt>
                <c:pt idx="516">
                  <c:v>11</c:v>
                </c:pt>
                <c:pt idx="517">
                  <c:v>11</c:v>
                </c:pt>
                <c:pt idx="518">
                  <c:v>11</c:v>
                </c:pt>
                <c:pt idx="519">
                  <c:v>11</c:v>
                </c:pt>
                <c:pt idx="520">
                  <c:v>11</c:v>
                </c:pt>
                <c:pt idx="521">
                  <c:v>11</c:v>
                </c:pt>
                <c:pt idx="522">
                  <c:v>11</c:v>
                </c:pt>
                <c:pt idx="523">
                  <c:v>11</c:v>
                </c:pt>
                <c:pt idx="524">
                  <c:v>11</c:v>
                </c:pt>
                <c:pt idx="525">
                  <c:v>11</c:v>
                </c:pt>
                <c:pt idx="526">
                  <c:v>11</c:v>
                </c:pt>
                <c:pt idx="527">
                  <c:v>11</c:v>
                </c:pt>
                <c:pt idx="528">
                  <c:v>11</c:v>
                </c:pt>
                <c:pt idx="529">
                  <c:v>11</c:v>
                </c:pt>
                <c:pt idx="530">
                  <c:v>11</c:v>
                </c:pt>
                <c:pt idx="531">
                  <c:v>11</c:v>
                </c:pt>
                <c:pt idx="532">
                  <c:v>11</c:v>
                </c:pt>
                <c:pt idx="533">
                  <c:v>11</c:v>
                </c:pt>
                <c:pt idx="534">
                  <c:v>11</c:v>
                </c:pt>
                <c:pt idx="535">
                  <c:v>11</c:v>
                </c:pt>
                <c:pt idx="536">
                  <c:v>11</c:v>
                </c:pt>
                <c:pt idx="537">
                  <c:v>11</c:v>
                </c:pt>
                <c:pt idx="538">
                  <c:v>10</c:v>
                </c:pt>
                <c:pt idx="539">
                  <c:v>10</c:v>
                </c:pt>
                <c:pt idx="540">
                  <c:v>10</c:v>
                </c:pt>
                <c:pt idx="541">
                  <c:v>10</c:v>
                </c:pt>
                <c:pt idx="542">
                  <c:v>10</c:v>
                </c:pt>
                <c:pt idx="543">
                  <c:v>10</c:v>
                </c:pt>
                <c:pt idx="544">
                  <c:v>10</c:v>
                </c:pt>
                <c:pt idx="545">
                  <c:v>10</c:v>
                </c:pt>
                <c:pt idx="546">
                  <c:v>10</c:v>
                </c:pt>
                <c:pt idx="547">
                  <c:v>10</c:v>
                </c:pt>
                <c:pt idx="548">
                  <c:v>10</c:v>
                </c:pt>
                <c:pt idx="549">
                  <c:v>10</c:v>
                </c:pt>
                <c:pt idx="550">
                  <c:v>10</c:v>
                </c:pt>
                <c:pt idx="551">
                  <c:v>10</c:v>
                </c:pt>
                <c:pt idx="552">
                  <c:v>10</c:v>
                </c:pt>
                <c:pt idx="553">
                  <c:v>10</c:v>
                </c:pt>
                <c:pt idx="554">
                  <c:v>10</c:v>
                </c:pt>
                <c:pt idx="555">
                  <c:v>10</c:v>
                </c:pt>
                <c:pt idx="556">
                  <c:v>10</c:v>
                </c:pt>
                <c:pt idx="557">
                  <c:v>10</c:v>
                </c:pt>
                <c:pt idx="558">
                  <c:v>10</c:v>
                </c:pt>
                <c:pt idx="559">
                  <c:v>10</c:v>
                </c:pt>
                <c:pt idx="560">
                  <c:v>10</c:v>
                </c:pt>
                <c:pt idx="561">
                  <c:v>10</c:v>
                </c:pt>
                <c:pt idx="562">
                  <c:v>10</c:v>
                </c:pt>
                <c:pt idx="563">
                  <c:v>10</c:v>
                </c:pt>
                <c:pt idx="564">
                  <c:v>10</c:v>
                </c:pt>
                <c:pt idx="565">
                  <c:v>10</c:v>
                </c:pt>
                <c:pt idx="566">
                  <c:v>10</c:v>
                </c:pt>
                <c:pt idx="567">
                  <c:v>10</c:v>
                </c:pt>
                <c:pt idx="568">
                  <c:v>10</c:v>
                </c:pt>
                <c:pt idx="569">
                  <c:v>10</c:v>
                </c:pt>
                <c:pt idx="570">
                  <c:v>10</c:v>
                </c:pt>
                <c:pt idx="571">
                  <c:v>10</c:v>
                </c:pt>
                <c:pt idx="572">
                  <c:v>10</c:v>
                </c:pt>
                <c:pt idx="573">
                  <c:v>10</c:v>
                </c:pt>
                <c:pt idx="574">
                  <c:v>10</c:v>
                </c:pt>
                <c:pt idx="575">
                  <c:v>10</c:v>
                </c:pt>
                <c:pt idx="576">
                  <c:v>10</c:v>
                </c:pt>
                <c:pt idx="577">
                  <c:v>10</c:v>
                </c:pt>
                <c:pt idx="578">
                  <c:v>10</c:v>
                </c:pt>
                <c:pt idx="579">
                  <c:v>10</c:v>
                </c:pt>
                <c:pt idx="580">
                  <c:v>10</c:v>
                </c:pt>
                <c:pt idx="581">
                  <c:v>10</c:v>
                </c:pt>
                <c:pt idx="582">
                  <c:v>10</c:v>
                </c:pt>
                <c:pt idx="583">
                  <c:v>10</c:v>
                </c:pt>
                <c:pt idx="584">
                  <c:v>10</c:v>
                </c:pt>
                <c:pt idx="585">
                  <c:v>10</c:v>
                </c:pt>
                <c:pt idx="586">
                  <c:v>10</c:v>
                </c:pt>
                <c:pt idx="587">
                  <c:v>10</c:v>
                </c:pt>
                <c:pt idx="588">
                  <c:v>10</c:v>
                </c:pt>
                <c:pt idx="589">
                  <c:v>10</c:v>
                </c:pt>
                <c:pt idx="590">
                  <c:v>10</c:v>
                </c:pt>
                <c:pt idx="591">
                  <c:v>10</c:v>
                </c:pt>
                <c:pt idx="592">
                  <c:v>10</c:v>
                </c:pt>
                <c:pt idx="593">
                  <c:v>10</c:v>
                </c:pt>
                <c:pt idx="594">
                  <c:v>10</c:v>
                </c:pt>
                <c:pt idx="595">
                  <c:v>10</c:v>
                </c:pt>
                <c:pt idx="596">
                  <c:v>10</c:v>
                </c:pt>
                <c:pt idx="597">
                  <c:v>10</c:v>
                </c:pt>
                <c:pt idx="598">
                  <c:v>10</c:v>
                </c:pt>
                <c:pt idx="599">
                  <c:v>10</c:v>
                </c:pt>
                <c:pt idx="600">
                  <c:v>10</c:v>
                </c:pt>
                <c:pt idx="601">
                  <c:v>10</c:v>
                </c:pt>
                <c:pt idx="602">
                  <c:v>10</c:v>
                </c:pt>
                <c:pt idx="603">
                  <c:v>10</c:v>
                </c:pt>
                <c:pt idx="604">
                  <c:v>10</c:v>
                </c:pt>
                <c:pt idx="605">
                  <c:v>10</c:v>
                </c:pt>
                <c:pt idx="606">
                  <c:v>10</c:v>
                </c:pt>
                <c:pt idx="607">
                  <c:v>10</c:v>
                </c:pt>
                <c:pt idx="608">
                  <c:v>10</c:v>
                </c:pt>
                <c:pt idx="609">
                  <c:v>10</c:v>
                </c:pt>
                <c:pt idx="610">
                  <c:v>10</c:v>
                </c:pt>
                <c:pt idx="611">
                  <c:v>10</c:v>
                </c:pt>
                <c:pt idx="612">
                  <c:v>10</c:v>
                </c:pt>
                <c:pt idx="613">
                  <c:v>10</c:v>
                </c:pt>
                <c:pt idx="614">
                  <c:v>10</c:v>
                </c:pt>
                <c:pt idx="615">
                  <c:v>10</c:v>
                </c:pt>
                <c:pt idx="616">
                  <c:v>10</c:v>
                </c:pt>
                <c:pt idx="617">
                  <c:v>10</c:v>
                </c:pt>
                <c:pt idx="618">
                  <c:v>10</c:v>
                </c:pt>
                <c:pt idx="619">
                  <c:v>10</c:v>
                </c:pt>
                <c:pt idx="620">
                  <c:v>10</c:v>
                </c:pt>
                <c:pt idx="621">
                  <c:v>10</c:v>
                </c:pt>
                <c:pt idx="622">
                  <c:v>10</c:v>
                </c:pt>
                <c:pt idx="623">
                  <c:v>10</c:v>
                </c:pt>
                <c:pt idx="624">
                  <c:v>10</c:v>
                </c:pt>
                <c:pt idx="625">
                  <c:v>10</c:v>
                </c:pt>
                <c:pt idx="626">
                  <c:v>10</c:v>
                </c:pt>
                <c:pt idx="627">
                  <c:v>10</c:v>
                </c:pt>
                <c:pt idx="628">
                  <c:v>10</c:v>
                </c:pt>
                <c:pt idx="629">
                  <c:v>10</c:v>
                </c:pt>
                <c:pt idx="630">
                  <c:v>10</c:v>
                </c:pt>
                <c:pt idx="631">
                  <c:v>10</c:v>
                </c:pt>
                <c:pt idx="632">
                  <c:v>10</c:v>
                </c:pt>
                <c:pt idx="633">
                  <c:v>10</c:v>
                </c:pt>
                <c:pt idx="634">
                  <c:v>10</c:v>
                </c:pt>
                <c:pt idx="635">
                  <c:v>10</c:v>
                </c:pt>
                <c:pt idx="636">
                  <c:v>10</c:v>
                </c:pt>
                <c:pt idx="637">
                  <c:v>10</c:v>
                </c:pt>
                <c:pt idx="638">
                  <c:v>10</c:v>
                </c:pt>
                <c:pt idx="639">
                  <c:v>10</c:v>
                </c:pt>
                <c:pt idx="640">
                  <c:v>10</c:v>
                </c:pt>
                <c:pt idx="641">
                  <c:v>10</c:v>
                </c:pt>
                <c:pt idx="642">
                  <c:v>10</c:v>
                </c:pt>
                <c:pt idx="643">
                  <c:v>9.5</c:v>
                </c:pt>
                <c:pt idx="644">
                  <c:v>9.5</c:v>
                </c:pt>
                <c:pt idx="645">
                  <c:v>9.5</c:v>
                </c:pt>
                <c:pt idx="646">
                  <c:v>9.5</c:v>
                </c:pt>
                <c:pt idx="647">
                  <c:v>9.5</c:v>
                </c:pt>
                <c:pt idx="648">
                  <c:v>9.5</c:v>
                </c:pt>
                <c:pt idx="649">
                  <c:v>9.5</c:v>
                </c:pt>
                <c:pt idx="650">
                  <c:v>9.5</c:v>
                </c:pt>
                <c:pt idx="651">
                  <c:v>9.5</c:v>
                </c:pt>
                <c:pt idx="652">
                  <c:v>9.5</c:v>
                </c:pt>
                <c:pt idx="653">
                  <c:v>9.5</c:v>
                </c:pt>
                <c:pt idx="654">
                  <c:v>9.5</c:v>
                </c:pt>
                <c:pt idx="655">
                  <c:v>9.5</c:v>
                </c:pt>
                <c:pt idx="656">
                  <c:v>9.5</c:v>
                </c:pt>
                <c:pt idx="657">
                  <c:v>9.5</c:v>
                </c:pt>
                <c:pt idx="658">
                  <c:v>9.5</c:v>
                </c:pt>
                <c:pt idx="659">
                  <c:v>9.5</c:v>
                </c:pt>
                <c:pt idx="660">
                  <c:v>9.5</c:v>
                </c:pt>
                <c:pt idx="661">
                  <c:v>9.5</c:v>
                </c:pt>
                <c:pt idx="662">
                  <c:v>9.5</c:v>
                </c:pt>
                <c:pt idx="663">
                  <c:v>9.5</c:v>
                </c:pt>
                <c:pt idx="664">
                  <c:v>9.5</c:v>
                </c:pt>
                <c:pt idx="665">
                  <c:v>9.5</c:v>
                </c:pt>
                <c:pt idx="666">
                  <c:v>9.5</c:v>
                </c:pt>
                <c:pt idx="667">
                  <c:v>9.5</c:v>
                </c:pt>
                <c:pt idx="668">
                  <c:v>9.5</c:v>
                </c:pt>
                <c:pt idx="669">
                  <c:v>9.5</c:v>
                </c:pt>
                <c:pt idx="670">
                  <c:v>9.5</c:v>
                </c:pt>
                <c:pt idx="671">
                  <c:v>9.5</c:v>
                </c:pt>
                <c:pt idx="672">
                  <c:v>9.5</c:v>
                </c:pt>
                <c:pt idx="673">
                  <c:v>9.5</c:v>
                </c:pt>
                <c:pt idx="674">
                  <c:v>9.5</c:v>
                </c:pt>
                <c:pt idx="675">
                  <c:v>9.5</c:v>
                </c:pt>
                <c:pt idx="676">
                  <c:v>9.5</c:v>
                </c:pt>
                <c:pt idx="677">
                  <c:v>9.5</c:v>
                </c:pt>
                <c:pt idx="678">
                  <c:v>9.5</c:v>
                </c:pt>
                <c:pt idx="679">
                  <c:v>9.5</c:v>
                </c:pt>
                <c:pt idx="680">
                  <c:v>9.5</c:v>
                </c:pt>
                <c:pt idx="681">
                  <c:v>9.5</c:v>
                </c:pt>
                <c:pt idx="682">
                  <c:v>9.5</c:v>
                </c:pt>
                <c:pt idx="683">
                  <c:v>9.5</c:v>
                </c:pt>
                <c:pt idx="684">
                  <c:v>9.5</c:v>
                </c:pt>
                <c:pt idx="685">
                  <c:v>9.5</c:v>
                </c:pt>
                <c:pt idx="686">
                  <c:v>9.5</c:v>
                </c:pt>
                <c:pt idx="687">
                  <c:v>9.5</c:v>
                </c:pt>
                <c:pt idx="688">
                  <c:v>9.5</c:v>
                </c:pt>
                <c:pt idx="689">
                  <c:v>9.5</c:v>
                </c:pt>
                <c:pt idx="690">
                  <c:v>9.5</c:v>
                </c:pt>
                <c:pt idx="691">
                  <c:v>9.5</c:v>
                </c:pt>
              </c:numCache>
            </c:numRef>
          </c:val>
          <c:extLst xmlns:c16r2="http://schemas.microsoft.com/office/drawing/2015/06/chart">
            <c:ext xmlns:c16="http://schemas.microsoft.com/office/drawing/2014/chart" uri="{C3380CC4-5D6E-409C-BE32-E72D297353CC}">
              <c16:uniqueId val="{00000000-B48C-41B7-92DB-AA74AF954F50}"/>
            </c:ext>
          </c:extLst>
        </c:ser>
        <c:ser>
          <c:idx val="3"/>
          <c:order val="3"/>
          <c:tx>
            <c:strRef>
              <c:f>Лист1!$E$1</c:f>
              <c:strCache>
                <c:ptCount val="1"/>
                <c:pt idx="0">
                  <c:v>верхняя граница коридора</c:v>
                </c:pt>
              </c:strCache>
            </c:strRef>
          </c:tx>
          <c:spPr>
            <a:solidFill>
              <a:srgbClr val="FFC000"/>
            </a:solidFill>
            <a:ln>
              <a:noFill/>
            </a:ln>
          </c:spPr>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Лист1!$E$2:$E$693</c:f>
              <c:numCache>
                <c:formatCode>General</c:formatCode>
                <c:ptCount val="692"/>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pt idx="47">
                  <c:v>2</c:v>
                </c:pt>
                <c:pt idx="48">
                  <c:v>2</c:v>
                </c:pt>
                <c:pt idx="49">
                  <c:v>2</c:v>
                </c:pt>
                <c:pt idx="50">
                  <c:v>2</c:v>
                </c:pt>
                <c:pt idx="51">
                  <c:v>2</c:v>
                </c:pt>
                <c:pt idx="52">
                  <c:v>2</c:v>
                </c:pt>
                <c:pt idx="53">
                  <c:v>2</c:v>
                </c:pt>
                <c:pt idx="54">
                  <c:v>2</c:v>
                </c:pt>
                <c:pt idx="55">
                  <c:v>2</c:v>
                </c:pt>
                <c:pt idx="56">
                  <c:v>2</c:v>
                </c:pt>
                <c:pt idx="57">
                  <c:v>2</c:v>
                </c:pt>
                <c:pt idx="58">
                  <c:v>2</c:v>
                </c:pt>
                <c:pt idx="59">
                  <c:v>2</c:v>
                </c:pt>
                <c:pt idx="60">
                  <c:v>2</c:v>
                </c:pt>
                <c:pt idx="61">
                  <c:v>2</c:v>
                </c:pt>
                <c:pt idx="62">
                  <c:v>2</c:v>
                </c:pt>
                <c:pt idx="63">
                  <c:v>2</c:v>
                </c:pt>
                <c:pt idx="153">
                  <c:v>4</c:v>
                </c:pt>
                <c:pt idx="154">
                  <c:v>4</c:v>
                </c:pt>
                <c:pt idx="155">
                  <c:v>4</c:v>
                </c:pt>
                <c:pt idx="156">
                  <c:v>4</c:v>
                </c:pt>
                <c:pt idx="157">
                  <c:v>4</c:v>
                </c:pt>
                <c:pt idx="158">
                  <c:v>4</c:v>
                </c:pt>
                <c:pt idx="159">
                  <c:v>4</c:v>
                </c:pt>
                <c:pt idx="160">
                  <c:v>4</c:v>
                </c:pt>
                <c:pt idx="161">
                  <c:v>4</c:v>
                </c:pt>
                <c:pt idx="162">
                  <c:v>4</c:v>
                </c:pt>
                <c:pt idx="163">
                  <c:v>4</c:v>
                </c:pt>
                <c:pt idx="164">
                  <c:v>4</c:v>
                </c:pt>
                <c:pt idx="165">
                  <c:v>4</c:v>
                </c:pt>
                <c:pt idx="166">
                  <c:v>4</c:v>
                </c:pt>
                <c:pt idx="167">
                  <c:v>4</c:v>
                </c:pt>
                <c:pt idx="168">
                  <c:v>4</c:v>
                </c:pt>
                <c:pt idx="169">
                  <c:v>4</c:v>
                </c:pt>
                <c:pt idx="170">
                  <c:v>4</c:v>
                </c:pt>
                <c:pt idx="171">
                  <c:v>4</c:v>
                </c:pt>
                <c:pt idx="172">
                  <c:v>4</c:v>
                </c:pt>
                <c:pt idx="173">
                  <c:v>4</c:v>
                </c:pt>
                <c:pt idx="174">
                  <c:v>4</c:v>
                </c:pt>
                <c:pt idx="175">
                  <c:v>4</c:v>
                </c:pt>
                <c:pt idx="176">
                  <c:v>4</c:v>
                </c:pt>
                <c:pt idx="177">
                  <c:v>4</c:v>
                </c:pt>
                <c:pt idx="178">
                  <c:v>4</c:v>
                </c:pt>
                <c:pt idx="179">
                  <c:v>4</c:v>
                </c:pt>
                <c:pt idx="180">
                  <c:v>4</c:v>
                </c:pt>
                <c:pt idx="181">
                  <c:v>4</c:v>
                </c:pt>
                <c:pt idx="182">
                  <c:v>4</c:v>
                </c:pt>
                <c:pt idx="183">
                  <c:v>4</c:v>
                </c:pt>
                <c:pt idx="184">
                  <c:v>4</c:v>
                </c:pt>
                <c:pt idx="185">
                  <c:v>4</c:v>
                </c:pt>
                <c:pt idx="186">
                  <c:v>4</c:v>
                </c:pt>
                <c:pt idx="187">
                  <c:v>4</c:v>
                </c:pt>
                <c:pt idx="188">
                  <c:v>4</c:v>
                </c:pt>
                <c:pt idx="189">
                  <c:v>4</c:v>
                </c:pt>
                <c:pt idx="190">
                  <c:v>4</c:v>
                </c:pt>
                <c:pt idx="191">
                  <c:v>4</c:v>
                </c:pt>
                <c:pt idx="192">
                  <c:v>4</c:v>
                </c:pt>
                <c:pt idx="193">
                  <c:v>4</c:v>
                </c:pt>
                <c:pt idx="194">
                  <c:v>4</c:v>
                </c:pt>
                <c:pt idx="195">
                  <c:v>4</c:v>
                </c:pt>
                <c:pt idx="196">
                  <c:v>4</c:v>
                </c:pt>
                <c:pt idx="197">
                  <c:v>4</c:v>
                </c:pt>
                <c:pt idx="198">
                  <c:v>4</c:v>
                </c:pt>
                <c:pt idx="199">
                  <c:v>4</c:v>
                </c:pt>
                <c:pt idx="200">
                  <c:v>4</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c:v>
                </c:pt>
                <c:pt idx="242">
                  <c:v>4</c:v>
                </c:pt>
                <c:pt idx="243">
                  <c:v>4</c:v>
                </c:pt>
                <c:pt idx="244">
                  <c:v>4</c:v>
                </c:pt>
                <c:pt idx="245">
                  <c:v>4</c:v>
                </c:pt>
                <c:pt idx="246">
                  <c:v>4</c:v>
                </c:pt>
                <c:pt idx="247">
                  <c:v>2</c:v>
                </c:pt>
                <c:pt idx="248">
                  <c:v>2</c:v>
                </c:pt>
                <c:pt idx="249">
                  <c:v>2</c:v>
                </c:pt>
                <c:pt idx="250">
                  <c:v>2</c:v>
                </c:pt>
                <c:pt idx="251">
                  <c:v>2</c:v>
                </c:pt>
                <c:pt idx="252">
                  <c:v>2</c:v>
                </c:pt>
                <c:pt idx="253">
                  <c:v>2</c:v>
                </c:pt>
                <c:pt idx="254">
                  <c:v>2</c:v>
                </c:pt>
                <c:pt idx="255">
                  <c:v>2</c:v>
                </c:pt>
                <c:pt idx="256">
                  <c:v>2</c:v>
                </c:pt>
                <c:pt idx="257">
                  <c:v>2</c:v>
                </c:pt>
                <c:pt idx="258">
                  <c:v>2</c:v>
                </c:pt>
                <c:pt idx="259">
                  <c:v>2</c:v>
                </c:pt>
                <c:pt idx="260">
                  <c:v>2</c:v>
                </c:pt>
                <c:pt idx="261">
                  <c:v>2</c:v>
                </c:pt>
                <c:pt idx="262">
                  <c:v>2</c:v>
                </c:pt>
                <c:pt idx="263">
                  <c:v>2</c:v>
                </c:pt>
                <c:pt idx="264">
                  <c:v>2</c:v>
                </c:pt>
                <c:pt idx="265">
                  <c:v>2</c:v>
                </c:pt>
                <c:pt idx="266">
                  <c:v>2</c:v>
                </c:pt>
                <c:pt idx="267">
                  <c:v>2</c:v>
                </c:pt>
                <c:pt idx="268">
                  <c:v>2</c:v>
                </c:pt>
                <c:pt idx="269">
                  <c:v>2</c:v>
                </c:pt>
                <c:pt idx="270">
                  <c:v>2</c:v>
                </c:pt>
                <c:pt idx="271">
                  <c:v>2</c:v>
                </c:pt>
                <c:pt idx="272">
                  <c:v>2</c:v>
                </c:pt>
                <c:pt idx="273">
                  <c:v>2</c:v>
                </c:pt>
                <c:pt idx="274">
                  <c:v>2</c:v>
                </c:pt>
                <c:pt idx="275">
                  <c:v>2</c:v>
                </c:pt>
                <c:pt idx="276">
                  <c:v>2</c:v>
                </c:pt>
                <c:pt idx="277">
                  <c:v>2</c:v>
                </c:pt>
                <c:pt idx="278">
                  <c:v>2</c:v>
                </c:pt>
                <c:pt idx="279">
                  <c:v>2</c:v>
                </c:pt>
                <c:pt idx="280">
                  <c:v>2</c:v>
                </c:pt>
                <c:pt idx="281">
                  <c:v>2</c:v>
                </c:pt>
                <c:pt idx="282">
                  <c:v>2</c:v>
                </c:pt>
                <c:pt idx="283">
                  <c:v>2</c:v>
                </c:pt>
                <c:pt idx="284">
                  <c:v>2</c:v>
                </c:pt>
                <c:pt idx="285">
                  <c:v>2</c:v>
                </c:pt>
                <c:pt idx="286">
                  <c:v>2</c:v>
                </c:pt>
                <c:pt idx="287">
                  <c:v>2</c:v>
                </c:pt>
                <c:pt idx="288">
                  <c:v>2</c:v>
                </c:pt>
                <c:pt idx="289">
                  <c:v>2</c:v>
                </c:pt>
                <c:pt idx="290">
                  <c:v>2</c:v>
                </c:pt>
                <c:pt idx="291">
                  <c:v>2</c:v>
                </c:pt>
                <c:pt idx="292">
                  <c:v>2</c:v>
                </c:pt>
                <c:pt idx="293">
                  <c:v>2</c:v>
                </c:pt>
                <c:pt idx="294">
                  <c:v>2</c:v>
                </c:pt>
                <c:pt idx="295">
                  <c:v>2</c:v>
                </c:pt>
                <c:pt idx="296">
                  <c:v>2</c:v>
                </c:pt>
                <c:pt idx="297">
                  <c:v>2</c:v>
                </c:pt>
                <c:pt idx="298">
                  <c:v>2</c:v>
                </c:pt>
                <c:pt idx="299">
                  <c:v>2</c:v>
                </c:pt>
                <c:pt idx="300">
                  <c:v>2</c:v>
                </c:pt>
                <c:pt idx="301">
                  <c:v>2</c:v>
                </c:pt>
                <c:pt idx="302">
                  <c:v>2</c:v>
                </c:pt>
                <c:pt idx="303">
                  <c:v>2</c:v>
                </c:pt>
                <c:pt idx="304">
                  <c:v>2</c:v>
                </c:pt>
                <c:pt idx="305">
                  <c:v>2</c:v>
                </c:pt>
                <c:pt idx="306">
                  <c:v>2</c:v>
                </c:pt>
                <c:pt idx="307">
                  <c:v>2</c:v>
                </c:pt>
                <c:pt idx="308">
                  <c:v>2</c:v>
                </c:pt>
                <c:pt idx="309">
                  <c:v>2</c:v>
                </c:pt>
                <c:pt idx="310">
                  <c:v>2</c:v>
                </c:pt>
                <c:pt idx="311">
                  <c:v>2</c:v>
                </c:pt>
                <c:pt idx="312">
                  <c:v>2</c:v>
                </c:pt>
                <c:pt idx="313">
                  <c:v>2</c:v>
                </c:pt>
                <c:pt idx="314">
                  <c:v>2</c:v>
                </c:pt>
                <c:pt idx="315">
                  <c:v>2</c:v>
                </c:pt>
                <c:pt idx="316">
                  <c:v>2</c:v>
                </c:pt>
                <c:pt idx="317">
                  <c:v>2</c:v>
                </c:pt>
                <c:pt idx="318">
                  <c:v>2</c:v>
                </c:pt>
                <c:pt idx="319">
                  <c:v>2</c:v>
                </c:pt>
                <c:pt idx="320">
                  <c:v>2</c:v>
                </c:pt>
                <c:pt idx="321">
                  <c:v>2</c:v>
                </c:pt>
                <c:pt idx="322">
                  <c:v>2</c:v>
                </c:pt>
                <c:pt idx="323">
                  <c:v>2</c:v>
                </c:pt>
                <c:pt idx="324">
                  <c:v>2</c:v>
                </c:pt>
                <c:pt idx="325">
                  <c:v>2</c:v>
                </c:pt>
                <c:pt idx="326">
                  <c:v>2</c:v>
                </c:pt>
                <c:pt idx="327">
                  <c:v>2</c:v>
                </c:pt>
                <c:pt idx="328">
                  <c:v>2</c:v>
                </c:pt>
                <c:pt idx="329">
                  <c:v>2</c:v>
                </c:pt>
                <c:pt idx="330">
                  <c:v>2</c:v>
                </c:pt>
                <c:pt idx="331">
                  <c:v>2</c:v>
                </c:pt>
                <c:pt idx="332">
                  <c:v>2</c:v>
                </c:pt>
                <c:pt idx="333">
                  <c:v>2</c:v>
                </c:pt>
                <c:pt idx="334">
                  <c:v>2</c:v>
                </c:pt>
                <c:pt idx="335">
                  <c:v>2</c:v>
                </c:pt>
                <c:pt idx="336">
                  <c:v>2</c:v>
                </c:pt>
                <c:pt idx="337">
                  <c:v>2</c:v>
                </c:pt>
                <c:pt idx="338">
                  <c:v>2</c:v>
                </c:pt>
                <c:pt idx="339">
                  <c:v>2</c:v>
                </c:pt>
                <c:pt idx="340">
                  <c:v>2</c:v>
                </c:pt>
                <c:pt idx="341">
                  <c:v>2</c:v>
                </c:pt>
                <c:pt idx="342">
                  <c:v>2</c:v>
                </c:pt>
                <c:pt idx="343">
                  <c:v>2</c:v>
                </c:pt>
                <c:pt idx="344">
                  <c:v>2</c:v>
                </c:pt>
                <c:pt idx="345">
                  <c:v>2</c:v>
                </c:pt>
                <c:pt idx="346">
                  <c:v>2</c:v>
                </c:pt>
                <c:pt idx="347">
                  <c:v>2</c:v>
                </c:pt>
                <c:pt idx="348">
                  <c:v>2</c:v>
                </c:pt>
                <c:pt idx="349">
                  <c:v>2</c:v>
                </c:pt>
                <c:pt idx="350">
                  <c:v>2</c:v>
                </c:pt>
                <c:pt idx="351">
                  <c:v>2</c:v>
                </c:pt>
                <c:pt idx="352">
                  <c:v>2</c:v>
                </c:pt>
                <c:pt idx="353">
                  <c:v>2</c:v>
                </c:pt>
                <c:pt idx="354">
                  <c:v>2</c:v>
                </c:pt>
                <c:pt idx="355">
                  <c:v>2</c:v>
                </c:pt>
                <c:pt idx="356">
                  <c:v>2</c:v>
                </c:pt>
                <c:pt idx="357">
                  <c:v>2</c:v>
                </c:pt>
                <c:pt idx="358">
                  <c:v>2</c:v>
                </c:pt>
                <c:pt idx="359">
                  <c:v>2</c:v>
                </c:pt>
                <c:pt idx="360">
                  <c:v>2</c:v>
                </c:pt>
                <c:pt idx="361">
                  <c:v>2</c:v>
                </c:pt>
                <c:pt idx="362">
                  <c:v>2</c:v>
                </c:pt>
                <c:pt idx="363">
                  <c:v>2</c:v>
                </c:pt>
                <c:pt idx="364">
                  <c:v>2</c:v>
                </c:pt>
                <c:pt idx="365">
                  <c:v>2</c:v>
                </c:pt>
                <c:pt idx="366">
                  <c:v>2</c:v>
                </c:pt>
                <c:pt idx="367">
                  <c:v>2</c:v>
                </c:pt>
                <c:pt idx="368">
                  <c:v>2</c:v>
                </c:pt>
                <c:pt idx="369">
                  <c:v>2</c:v>
                </c:pt>
                <c:pt idx="370">
                  <c:v>2</c:v>
                </c:pt>
                <c:pt idx="371">
                  <c:v>2</c:v>
                </c:pt>
                <c:pt idx="372">
                  <c:v>2</c:v>
                </c:pt>
                <c:pt idx="373">
                  <c:v>2</c:v>
                </c:pt>
                <c:pt idx="374">
                  <c:v>2</c:v>
                </c:pt>
                <c:pt idx="375">
                  <c:v>2</c:v>
                </c:pt>
                <c:pt idx="376">
                  <c:v>2</c:v>
                </c:pt>
                <c:pt idx="377">
                  <c:v>2</c:v>
                </c:pt>
                <c:pt idx="378">
                  <c:v>2</c:v>
                </c:pt>
                <c:pt idx="379">
                  <c:v>2</c:v>
                </c:pt>
                <c:pt idx="380">
                  <c:v>2</c:v>
                </c:pt>
                <c:pt idx="381">
                  <c:v>2</c:v>
                </c:pt>
                <c:pt idx="382">
                  <c:v>2</c:v>
                </c:pt>
                <c:pt idx="383">
                  <c:v>2</c:v>
                </c:pt>
                <c:pt idx="384">
                  <c:v>2</c:v>
                </c:pt>
                <c:pt idx="385">
                  <c:v>2</c:v>
                </c:pt>
                <c:pt idx="386">
                  <c:v>2</c:v>
                </c:pt>
                <c:pt idx="387">
                  <c:v>2</c:v>
                </c:pt>
                <c:pt idx="388">
                  <c:v>2</c:v>
                </c:pt>
                <c:pt idx="389">
                  <c:v>2</c:v>
                </c:pt>
                <c:pt idx="390">
                  <c:v>2</c:v>
                </c:pt>
                <c:pt idx="391">
                  <c:v>2</c:v>
                </c:pt>
                <c:pt idx="392">
                  <c:v>2</c:v>
                </c:pt>
                <c:pt idx="393">
                  <c:v>2</c:v>
                </c:pt>
                <c:pt idx="394">
                  <c:v>2</c:v>
                </c:pt>
                <c:pt idx="395">
                  <c:v>2</c:v>
                </c:pt>
                <c:pt idx="396">
                  <c:v>2</c:v>
                </c:pt>
                <c:pt idx="397">
                  <c:v>2</c:v>
                </c:pt>
                <c:pt idx="398">
                  <c:v>2</c:v>
                </c:pt>
                <c:pt idx="399">
                  <c:v>2</c:v>
                </c:pt>
                <c:pt idx="400">
                  <c:v>2</c:v>
                </c:pt>
                <c:pt idx="401">
                  <c:v>2</c:v>
                </c:pt>
                <c:pt idx="402">
                  <c:v>2</c:v>
                </c:pt>
                <c:pt idx="403">
                  <c:v>2</c:v>
                </c:pt>
                <c:pt idx="404">
                  <c:v>2</c:v>
                </c:pt>
                <c:pt idx="405">
                  <c:v>2</c:v>
                </c:pt>
                <c:pt idx="406">
                  <c:v>2</c:v>
                </c:pt>
                <c:pt idx="407">
                  <c:v>2</c:v>
                </c:pt>
                <c:pt idx="408">
                  <c:v>2</c:v>
                </c:pt>
                <c:pt idx="409">
                  <c:v>2</c:v>
                </c:pt>
                <c:pt idx="410">
                  <c:v>2</c:v>
                </c:pt>
                <c:pt idx="411">
                  <c:v>2</c:v>
                </c:pt>
                <c:pt idx="412">
                  <c:v>2</c:v>
                </c:pt>
                <c:pt idx="413">
                  <c:v>2</c:v>
                </c:pt>
                <c:pt idx="414">
                  <c:v>2</c:v>
                </c:pt>
                <c:pt idx="415">
                  <c:v>2</c:v>
                </c:pt>
                <c:pt idx="416">
                  <c:v>2</c:v>
                </c:pt>
                <c:pt idx="417">
                  <c:v>2</c:v>
                </c:pt>
                <c:pt idx="418">
                  <c:v>2</c:v>
                </c:pt>
                <c:pt idx="419">
                  <c:v>2</c:v>
                </c:pt>
                <c:pt idx="420">
                  <c:v>2</c:v>
                </c:pt>
                <c:pt idx="421">
                  <c:v>2</c:v>
                </c:pt>
                <c:pt idx="422">
                  <c:v>2</c:v>
                </c:pt>
                <c:pt idx="423">
                  <c:v>2</c:v>
                </c:pt>
                <c:pt idx="424">
                  <c:v>2</c:v>
                </c:pt>
                <c:pt idx="425">
                  <c:v>2</c:v>
                </c:pt>
                <c:pt idx="426">
                  <c:v>2</c:v>
                </c:pt>
                <c:pt idx="427">
                  <c:v>2</c:v>
                </c:pt>
                <c:pt idx="428">
                  <c:v>2</c:v>
                </c:pt>
                <c:pt idx="429">
                  <c:v>2</c:v>
                </c:pt>
                <c:pt idx="430">
                  <c:v>2</c:v>
                </c:pt>
                <c:pt idx="431">
                  <c:v>2</c:v>
                </c:pt>
                <c:pt idx="432">
                  <c:v>2</c:v>
                </c:pt>
                <c:pt idx="433">
                  <c:v>2</c:v>
                </c:pt>
                <c:pt idx="434">
                  <c:v>2</c:v>
                </c:pt>
                <c:pt idx="435">
                  <c:v>2</c:v>
                </c:pt>
                <c:pt idx="436">
                  <c:v>2</c:v>
                </c:pt>
                <c:pt idx="437">
                  <c:v>2</c:v>
                </c:pt>
                <c:pt idx="438">
                  <c:v>2</c:v>
                </c:pt>
                <c:pt idx="439">
                  <c:v>2</c:v>
                </c:pt>
                <c:pt idx="440">
                  <c:v>2</c:v>
                </c:pt>
                <c:pt idx="441">
                  <c:v>2</c:v>
                </c:pt>
                <c:pt idx="442">
                  <c:v>2</c:v>
                </c:pt>
                <c:pt idx="443">
                  <c:v>2</c:v>
                </c:pt>
                <c:pt idx="444">
                  <c:v>2</c:v>
                </c:pt>
                <c:pt idx="445">
                  <c:v>2</c:v>
                </c:pt>
                <c:pt idx="446">
                  <c:v>2</c:v>
                </c:pt>
                <c:pt idx="447">
                  <c:v>2</c:v>
                </c:pt>
                <c:pt idx="448">
                  <c:v>2</c:v>
                </c:pt>
                <c:pt idx="449">
                  <c:v>2</c:v>
                </c:pt>
                <c:pt idx="450">
                  <c:v>2</c:v>
                </c:pt>
                <c:pt idx="451">
                  <c:v>2</c:v>
                </c:pt>
                <c:pt idx="452">
                  <c:v>2</c:v>
                </c:pt>
                <c:pt idx="453">
                  <c:v>2</c:v>
                </c:pt>
                <c:pt idx="454">
                  <c:v>2</c:v>
                </c:pt>
                <c:pt idx="455">
                  <c:v>2</c:v>
                </c:pt>
                <c:pt idx="456">
                  <c:v>2</c:v>
                </c:pt>
                <c:pt idx="457">
                  <c:v>2</c:v>
                </c:pt>
                <c:pt idx="458">
                  <c:v>2</c:v>
                </c:pt>
                <c:pt idx="459">
                  <c:v>2</c:v>
                </c:pt>
                <c:pt idx="460">
                  <c:v>2</c:v>
                </c:pt>
                <c:pt idx="461">
                  <c:v>2</c:v>
                </c:pt>
                <c:pt idx="462">
                  <c:v>2</c:v>
                </c:pt>
                <c:pt idx="463">
                  <c:v>2</c:v>
                </c:pt>
                <c:pt idx="464">
                  <c:v>2</c:v>
                </c:pt>
                <c:pt idx="465">
                  <c:v>2</c:v>
                </c:pt>
                <c:pt idx="466">
                  <c:v>2</c:v>
                </c:pt>
                <c:pt idx="467">
                  <c:v>2</c:v>
                </c:pt>
                <c:pt idx="468">
                  <c:v>2</c:v>
                </c:pt>
                <c:pt idx="469">
                  <c:v>2</c:v>
                </c:pt>
                <c:pt idx="470">
                  <c:v>2</c:v>
                </c:pt>
                <c:pt idx="471">
                  <c:v>2</c:v>
                </c:pt>
                <c:pt idx="472">
                  <c:v>2</c:v>
                </c:pt>
                <c:pt idx="473">
                  <c:v>2</c:v>
                </c:pt>
                <c:pt idx="474">
                  <c:v>2</c:v>
                </c:pt>
                <c:pt idx="475">
                  <c:v>2</c:v>
                </c:pt>
                <c:pt idx="476">
                  <c:v>2</c:v>
                </c:pt>
                <c:pt idx="477">
                  <c:v>2</c:v>
                </c:pt>
                <c:pt idx="478">
                  <c:v>2</c:v>
                </c:pt>
                <c:pt idx="479">
                  <c:v>2</c:v>
                </c:pt>
                <c:pt idx="480">
                  <c:v>2</c:v>
                </c:pt>
                <c:pt idx="481">
                  <c:v>2</c:v>
                </c:pt>
                <c:pt idx="482">
                  <c:v>2</c:v>
                </c:pt>
                <c:pt idx="483">
                  <c:v>2</c:v>
                </c:pt>
                <c:pt idx="484">
                  <c:v>2</c:v>
                </c:pt>
                <c:pt idx="485">
                  <c:v>2</c:v>
                </c:pt>
                <c:pt idx="486">
                  <c:v>2</c:v>
                </c:pt>
                <c:pt idx="487">
                  <c:v>2</c:v>
                </c:pt>
                <c:pt idx="488">
                  <c:v>2</c:v>
                </c:pt>
                <c:pt idx="489">
                  <c:v>2</c:v>
                </c:pt>
                <c:pt idx="490">
                  <c:v>2</c:v>
                </c:pt>
                <c:pt idx="491">
                  <c:v>2</c:v>
                </c:pt>
                <c:pt idx="492">
                  <c:v>2</c:v>
                </c:pt>
                <c:pt idx="493">
                  <c:v>2</c:v>
                </c:pt>
                <c:pt idx="494">
                  <c:v>2</c:v>
                </c:pt>
                <c:pt idx="495">
                  <c:v>2</c:v>
                </c:pt>
                <c:pt idx="496">
                  <c:v>2</c:v>
                </c:pt>
                <c:pt idx="497">
                  <c:v>2</c:v>
                </c:pt>
                <c:pt idx="498">
                  <c:v>2</c:v>
                </c:pt>
                <c:pt idx="499">
                  <c:v>2</c:v>
                </c:pt>
                <c:pt idx="500">
                  <c:v>2</c:v>
                </c:pt>
                <c:pt idx="501">
                  <c:v>2</c:v>
                </c:pt>
                <c:pt idx="502">
                  <c:v>2</c:v>
                </c:pt>
                <c:pt idx="503">
                  <c:v>2</c:v>
                </c:pt>
                <c:pt idx="504">
                  <c:v>2</c:v>
                </c:pt>
                <c:pt idx="505">
                  <c:v>2</c:v>
                </c:pt>
                <c:pt idx="506">
                  <c:v>2</c:v>
                </c:pt>
                <c:pt idx="507">
                  <c:v>2</c:v>
                </c:pt>
                <c:pt idx="508">
                  <c:v>2</c:v>
                </c:pt>
                <c:pt idx="509">
                  <c:v>2</c:v>
                </c:pt>
                <c:pt idx="510">
                  <c:v>2</c:v>
                </c:pt>
                <c:pt idx="511">
                  <c:v>2</c:v>
                </c:pt>
                <c:pt idx="512">
                  <c:v>2</c:v>
                </c:pt>
                <c:pt idx="513">
                  <c:v>2</c:v>
                </c:pt>
                <c:pt idx="514">
                  <c:v>2</c:v>
                </c:pt>
                <c:pt idx="515">
                  <c:v>2</c:v>
                </c:pt>
                <c:pt idx="516">
                  <c:v>2</c:v>
                </c:pt>
                <c:pt idx="517">
                  <c:v>2</c:v>
                </c:pt>
                <c:pt idx="518">
                  <c:v>2</c:v>
                </c:pt>
                <c:pt idx="519">
                  <c:v>2</c:v>
                </c:pt>
                <c:pt idx="520">
                  <c:v>2</c:v>
                </c:pt>
                <c:pt idx="521">
                  <c:v>2</c:v>
                </c:pt>
                <c:pt idx="522">
                  <c:v>2</c:v>
                </c:pt>
                <c:pt idx="523">
                  <c:v>2</c:v>
                </c:pt>
                <c:pt idx="524">
                  <c:v>2</c:v>
                </c:pt>
                <c:pt idx="525">
                  <c:v>2</c:v>
                </c:pt>
                <c:pt idx="526">
                  <c:v>2</c:v>
                </c:pt>
                <c:pt idx="527">
                  <c:v>2</c:v>
                </c:pt>
                <c:pt idx="528">
                  <c:v>2</c:v>
                </c:pt>
                <c:pt idx="529">
                  <c:v>2</c:v>
                </c:pt>
                <c:pt idx="530">
                  <c:v>2</c:v>
                </c:pt>
                <c:pt idx="531">
                  <c:v>2</c:v>
                </c:pt>
                <c:pt idx="532">
                  <c:v>2</c:v>
                </c:pt>
                <c:pt idx="533">
                  <c:v>2</c:v>
                </c:pt>
                <c:pt idx="534">
                  <c:v>2</c:v>
                </c:pt>
                <c:pt idx="535">
                  <c:v>2</c:v>
                </c:pt>
                <c:pt idx="536">
                  <c:v>2</c:v>
                </c:pt>
                <c:pt idx="537">
                  <c:v>2</c:v>
                </c:pt>
                <c:pt idx="538">
                  <c:v>2</c:v>
                </c:pt>
                <c:pt idx="539">
                  <c:v>2</c:v>
                </c:pt>
                <c:pt idx="540">
                  <c:v>2</c:v>
                </c:pt>
                <c:pt idx="541">
                  <c:v>2</c:v>
                </c:pt>
                <c:pt idx="542">
                  <c:v>2</c:v>
                </c:pt>
                <c:pt idx="543">
                  <c:v>2</c:v>
                </c:pt>
                <c:pt idx="544">
                  <c:v>2</c:v>
                </c:pt>
                <c:pt idx="545">
                  <c:v>2</c:v>
                </c:pt>
                <c:pt idx="546">
                  <c:v>2</c:v>
                </c:pt>
                <c:pt idx="547">
                  <c:v>2</c:v>
                </c:pt>
                <c:pt idx="548">
                  <c:v>2</c:v>
                </c:pt>
                <c:pt idx="549">
                  <c:v>2</c:v>
                </c:pt>
                <c:pt idx="550">
                  <c:v>2</c:v>
                </c:pt>
                <c:pt idx="551">
                  <c:v>2</c:v>
                </c:pt>
                <c:pt idx="552">
                  <c:v>2</c:v>
                </c:pt>
                <c:pt idx="553">
                  <c:v>2</c:v>
                </c:pt>
                <c:pt idx="554">
                  <c:v>2</c:v>
                </c:pt>
                <c:pt idx="555">
                  <c:v>2</c:v>
                </c:pt>
                <c:pt idx="556">
                  <c:v>2</c:v>
                </c:pt>
                <c:pt idx="557">
                  <c:v>2</c:v>
                </c:pt>
                <c:pt idx="558">
                  <c:v>2</c:v>
                </c:pt>
                <c:pt idx="559">
                  <c:v>2</c:v>
                </c:pt>
                <c:pt idx="560">
                  <c:v>2</c:v>
                </c:pt>
                <c:pt idx="561">
                  <c:v>2</c:v>
                </c:pt>
                <c:pt idx="562">
                  <c:v>2</c:v>
                </c:pt>
                <c:pt idx="563">
                  <c:v>2</c:v>
                </c:pt>
                <c:pt idx="564">
                  <c:v>2</c:v>
                </c:pt>
                <c:pt idx="565">
                  <c:v>2</c:v>
                </c:pt>
                <c:pt idx="566">
                  <c:v>2</c:v>
                </c:pt>
                <c:pt idx="567">
                  <c:v>2</c:v>
                </c:pt>
                <c:pt idx="568">
                  <c:v>2</c:v>
                </c:pt>
                <c:pt idx="569">
                  <c:v>2</c:v>
                </c:pt>
                <c:pt idx="570">
                  <c:v>2</c:v>
                </c:pt>
                <c:pt idx="571">
                  <c:v>2</c:v>
                </c:pt>
                <c:pt idx="572">
                  <c:v>2</c:v>
                </c:pt>
                <c:pt idx="573">
                  <c:v>2</c:v>
                </c:pt>
                <c:pt idx="574">
                  <c:v>2</c:v>
                </c:pt>
                <c:pt idx="575">
                  <c:v>2</c:v>
                </c:pt>
                <c:pt idx="576">
                  <c:v>2</c:v>
                </c:pt>
                <c:pt idx="577">
                  <c:v>2</c:v>
                </c:pt>
                <c:pt idx="578">
                  <c:v>2</c:v>
                </c:pt>
                <c:pt idx="579">
                  <c:v>2</c:v>
                </c:pt>
                <c:pt idx="580">
                  <c:v>2</c:v>
                </c:pt>
                <c:pt idx="581">
                  <c:v>2</c:v>
                </c:pt>
                <c:pt idx="582">
                  <c:v>2</c:v>
                </c:pt>
                <c:pt idx="583">
                  <c:v>2</c:v>
                </c:pt>
                <c:pt idx="584">
                  <c:v>2</c:v>
                </c:pt>
                <c:pt idx="585">
                  <c:v>2</c:v>
                </c:pt>
                <c:pt idx="586">
                  <c:v>2</c:v>
                </c:pt>
                <c:pt idx="587">
                  <c:v>2</c:v>
                </c:pt>
                <c:pt idx="588">
                  <c:v>2</c:v>
                </c:pt>
                <c:pt idx="589">
                  <c:v>2</c:v>
                </c:pt>
                <c:pt idx="590">
                  <c:v>2</c:v>
                </c:pt>
                <c:pt idx="591">
                  <c:v>2</c:v>
                </c:pt>
                <c:pt idx="592">
                  <c:v>2</c:v>
                </c:pt>
                <c:pt idx="593">
                  <c:v>2</c:v>
                </c:pt>
                <c:pt idx="594">
                  <c:v>2</c:v>
                </c:pt>
                <c:pt idx="595">
                  <c:v>2</c:v>
                </c:pt>
                <c:pt idx="596">
                  <c:v>2</c:v>
                </c:pt>
                <c:pt idx="597">
                  <c:v>2</c:v>
                </c:pt>
                <c:pt idx="598">
                  <c:v>2</c:v>
                </c:pt>
                <c:pt idx="599">
                  <c:v>2</c:v>
                </c:pt>
                <c:pt idx="600">
                  <c:v>2</c:v>
                </c:pt>
                <c:pt idx="601">
                  <c:v>2</c:v>
                </c:pt>
                <c:pt idx="602">
                  <c:v>2</c:v>
                </c:pt>
                <c:pt idx="603">
                  <c:v>2</c:v>
                </c:pt>
                <c:pt idx="604">
                  <c:v>2</c:v>
                </c:pt>
                <c:pt idx="605">
                  <c:v>2</c:v>
                </c:pt>
                <c:pt idx="606">
                  <c:v>2</c:v>
                </c:pt>
                <c:pt idx="607">
                  <c:v>2</c:v>
                </c:pt>
                <c:pt idx="608">
                  <c:v>2</c:v>
                </c:pt>
                <c:pt idx="609">
                  <c:v>2</c:v>
                </c:pt>
                <c:pt idx="610">
                  <c:v>2</c:v>
                </c:pt>
                <c:pt idx="611">
                  <c:v>2</c:v>
                </c:pt>
                <c:pt idx="612">
                  <c:v>2</c:v>
                </c:pt>
                <c:pt idx="613">
                  <c:v>2</c:v>
                </c:pt>
                <c:pt idx="614">
                  <c:v>2</c:v>
                </c:pt>
                <c:pt idx="615">
                  <c:v>2</c:v>
                </c:pt>
                <c:pt idx="616">
                  <c:v>2</c:v>
                </c:pt>
                <c:pt idx="617">
                  <c:v>2</c:v>
                </c:pt>
                <c:pt idx="618">
                  <c:v>2</c:v>
                </c:pt>
                <c:pt idx="619">
                  <c:v>2</c:v>
                </c:pt>
                <c:pt idx="620">
                  <c:v>2</c:v>
                </c:pt>
                <c:pt idx="621">
                  <c:v>2</c:v>
                </c:pt>
                <c:pt idx="622">
                  <c:v>2</c:v>
                </c:pt>
                <c:pt idx="623">
                  <c:v>2</c:v>
                </c:pt>
                <c:pt idx="624">
                  <c:v>2</c:v>
                </c:pt>
                <c:pt idx="625">
                  <c:v>2</c:v>
                </c:pt>
                <c:pt idx="626">
                  <c:v>2</c:v>
                </c:pt>
                <c:pt idx="627">
                  <c:v>2</c:v>
                </c:pt>
                <c:pt idx="628">
                  <c:v>2</c:v>
                </c:pt>
                <c:pt idx="629">
                  <c:v>2</c:v>
                </c:pt>
                <c:pt idx="630">
                  <c:v>2</c:v>
                </c:pt>
                <c:pt idx="631">
                  <c:v>2</c:v>
                </c:pt>
                <c:pt idx="632">
                  <c:v>2</c:v>
                </c:pt>
                <c:pt idx="633">
                  <c:v>2</c:v>
                </c:pt>
                <c:pt idx="634">
                  <c:v>2</c:v>
                </c:pt>
                <c:pt idx="635">
                  <c:v>2</c:v>
                </c:pt>
                <c:pt idx="636">
                  <c:v>2</c:v>
                </c:pt>
                <c:pt idx="637">
                  <c:v>2</c:v>
                </c:pt>
                <c:pt idx="638">
                  <c:v>2</c:v>
                </c:pt>
                <c:pt idx="639">
                  <c:v>2</c:v>
                </c:pt>
                <c:pt idx="640">
                  <c:v>2</c:v>
                </c:pt>
                <c:pt idx="641">
                  <c:v>2</c:v>
                </c:pt>
                <c:pt idx="642">
                  <c:v>2</c:v>
                </c:pt>
                <c:pt idx="643">
                  <c:v>2</c:v>
                </c:pt>
                <c:pt idx="644">
                  <c:v>2</c:v>
                </c:pt>
                <c:pt idx="645">
                  <c:v>2</c:v>
                </c:pt>
                <c:pt idx="646">
                  <c:v>2</c:v>
                </c:pt>
                <c:pt idx="647">
                  <c:v>2</c:v>
                </c:pt>
                <c:pt idx="648">
                  <c:v>2</c:v>
                </c:pt>
                <c:pt idx="649">
                  <c:v>2</c:v>
                </c:pt>
                <c:pt idx="650">
                  <c:v>2</c:v>
                </c:pt>
                <c:pt idx="651">
                  <c:v>2</c:v>
                </c:pt>
                <c:pt idx="652">
                  <c:v>2</c:v>
                </c:pt>
                <c:pt idx="653">
                  <c:v>2</c:v>
                </c:pt>
                <c:pt idx="654">
                  <c:v>2</c:v>
                </c:pt>
                <c:pt idx="655">
                  <c:v>2</c:v>
                </c:pt>
                <c:pt idx="656">
                  <c:v>2</c:v>
                </c:pt>
                <c:pt idx="657">
                  <c:v>2</c:v>
                </c:pt>
                <c:pt idx="658">
                  <c:v>2</c:v>
                </c:pt>
                <c:pt idx="659">
                  <c:v>2</c:v>
                </c:pt>
                <c:pt idx="660">
                  <c:v>2</c:v>
                </c:pt>
                <c:pt idx="661">
                  <c:v>2</c:v>
                </c:pt>
                <c:pt idx="662">
                  <c:v>2</c:v>
                </c:pt>
                <c:pt idx="663">
                  <c:v>2</c:v>
                </c:pt>
                <c:pt idx="664">
                  <c:v>2</c:v>
                </c:pt>
                <c:pt idx="665">
                  <c:v>2</c:v>
                </c:pt>
                <c:pt idx="666">
                  <c:v>2</c:v>
                </c:pt>
                <c:pt idx="667">
                  <c:v>2</c:v>
                </c:pt>
                <c:pt idx="668">
                  <c:v>2</c:v>
                </c:pt>
                <c:pt idx="669">
                  <c:v>2</c:v>
                </c:pt>
                <c:pt idx="670">
                  <c:v>2</c:v>
                </c:pt>
                <c:pt idx="671">
                  <c:v>2</c:v>
                </c:pt>
                <c:pt idx="672">
                  <c:v>2</c:v>
                </c:pt>
                <c:pt idx="673">
                  <c:v>2</c:v>
                </c:pt>
                <c:pt idx="674">
                  <c:v>2</c:v>
                </c:pt>
                <c:pt idx="675">
                  <c:v>2</c:v>
                </c:pt>
                <c:pt idx="676">
                  <c:v>2</c:v>
                </c:pt>
                <c:pt idx="677">
                  <c:v>2</c:v>
                </c:pt>
                <c:pt idx="678">
                  <c:v>2</c:v>
                </c:pt>
                <c:pt idx="679">
                  <c:v>2</c:v>
                </c:pt>
                <c:pt idx="680">
                  <c:v>2</c:v>
                </c:pt>
                <c:pt idx="681">
                  <c:v>2</c:v>
                </c:pt>
                <c:pt idx="682">
                  <c:v>2</c:v>
                </c:pt>
                <c:pt idx="683">
                  <c:v>2</c:v>
                </c:pt>
                <c:pt idx="684">
                  <c:v>2</c:v>
                </c:pt>
                <c:pt idx="685">
                  <c:v>2</c:v>
                </c:pt>
                <c:pt idx="686">
                  <c:v>2</c:v>
                </c:pt>
                <c:pt idx="687">
                  <c:v>2</c:v>
                </c:pt>
                <c:pt idx="688">
                  <c:v>2</c:v>
                </c:pt>
                <c:pt idx="689">
                  <c:v>2</c:v>
                </c:pt>
                <c:pt idx="690">
                  <c:v>2</c:v>
                </c:pt>
                <c:pt idx="691">
                  <c:v>2</c:v>
                </c:pt>
              </c:numCache>
            </c:numRef>
          </c:val>
          <c:extLst xmlns:c16r2="http://schemas.microsoft.com/office/drawing/2015/06/chart">
            <c:ext xmlns:c16="http://schemas.microsoft.com/office/drawing/2014/chart" uri="{C3380CC4-5D6E-409C-BE32-E72D297353CC}">
              <c16:uniqueId val="{00000001-B48C-41B7-92DB-AA74AF954F50}"/>
            </c:ext>
          </c:extLst>
        </c:ser>
        <c:dLbls>
          <c:showLegendKey val="0"/>
          <c:showVal val="0"/>
          <c:showCatName val="0"/>
          <c:showSerName val="0"/>
          <c:showPercent val="0"/>
          <c:showBubbleSize val="0"/>
        </c:dLbls>
        <c:axId val="212980736"/>
        <c:axId val="217499904"/>
      </c:areaChart>
      <c:lineChart>
        <c:grouping val="standard"/>
        <c:varyColors val="0"/>
        <c:ser>
          <c:idx val="0"/>
          <c:order val="0"/>
          <c:tx>
            <c:strRef>
              <c:f>Лист1!$B$1</c:f>
              <c:strCache>
                <c:ptCount val="1"/>
                <c:pt idx="0">
                  <c:v>базовая ставка</c:v>
                </c:pt>
              </c:strCache>
            </c:strRef>
          </c:tx>
          <c:spPr>
            <a:ln>
              <a:noFill/>
            </a:ln>
          </c:spPr>
          <c:marker>
            <c:symbol val="none"/>
          </c:marker>
          <c:dPt>
            <c:idx val="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3-B48C-41B7-92DB-AA74AF954F50}"/>
              </c:ext>
            </c:extLst>
          </c:dPt>
          <c:dPt>
            <c:idx val="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5-B48C-41B7-92DB-AA74AF954F50}"/>
              </c:ext>
            </c:extLst>
          </c:dPt>
          <c:dPt>
            <c:idx val="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7-B48C-41B7-92DB-AA74AF954F50}"/>
              </c:ext>
            </c:extLst>
          </c:dPt>
          <c:dPt>
            <c:idx val="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9-B48C-41B7-92DB-AA74AF954F50}"/>
              </c:ext>
            </c:extLst>
          </c:dPt>
          <c:dPt>
            <c:idx val="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B-B48C-41B7-92DB-AA74AF954F50}"/>
              </c:ext>
            </c:extLst>
          </c:dPt>
          <c:dPt>
            <c:idx val="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D-B48C-41B7-92DB-AA74AF954F50}"/>
              </c:ext>
            </c:extLst>
          </c:dPt>
          <c:dPt>
            <c:idx val="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F-B48C-41B7-92DB-AA74AF954F50}"/>
              </c:ext>
            </c:extLst>
          </c:dPt>
          <c:dPt>
            <c:idx val="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1-B48C-41B7-92DB-AA74AF954F50}"/>
              </c:ext>
            </c:extLst>
          </c:dPt>
          <c:dPt>
            <c:idx val="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3-B48C-41B7-92DB-AA74AF954F50}"/>
              </c:ext>
            </c:extLst>
          </c:dPt>
          <c:dPt>
            <c:idx val="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5-B48C-41B7-92DB-AA74AF954F50}"/>
              </c:ext>
            </c:extLst>
          </c:dPt>
          <c:dPt>
            <c:idx val="1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7-B48C-41B7-92DB-AA74AF954F50}"/>
              </c:ext>
            </c:extLst>
          </c:dPt>
          <c:dPt>
            <c:idx val="1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9-B48C-41B7-92DB-AA74AF954F50}"/>
              </c:ext>
            </c:extLst>
          </c:dPt>
          <c:dPt>
            <c:idx val="1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B-B48C-41B7-92DB-AA74AF954F50}"/>
              </c:ext>
            </c:extLst>
          </c:dPt>
          <c:dPt>
            <c:idx val="1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D-B48C-41B7-92DB-AA74AF954F50}"/>
              </c:ext>
            </c:extLst>
          </c:dPt>
          <c:dPt>
            <c:idx val="1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F-B48C-41B7-92DB-AA74AF954F50}"/>
              </c:ext>
            </c:extLst>
          </c:dPt>
          <c:dPt>
            <c:idx val="1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1-B48C-41B7-92DB-AA74AF954F50}"/>
              </c:ext>
            </c:extLst>
          </c:dPt>
          <c:dPt>
            <c:idx val="1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3-B48C-41B7-92DB-AA74AF954F50}"/>
              </c:ext>
            </c:extLst>
          </c:dPt>
          <c:dPt>
            <c:idx val="1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5-B48C-41B7-92DB-AA74AF954F50}"/>
              </c:ext>
            </c:extLst>
          </c:dPt>
          <c:dPt>
            <c:idx val="1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7-B48C-41B7-92DB-AA74AF954F50}"/>
              </c:ext>
            </c:extLst>
          </c:dPt>
          <c:dPt>
            <c:idx val="1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9-B48C-41B7-92DB-AA74AF954F50}"/>
              </c:ext>
            </c:extLst>
          </c:dPt>
          <c:dPt>
            <c:idx val="2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B-B48C-41B7-92DB-AA74AF954F50}"/>
              </c:ext>
            </c:extLst>
          </c:dPt>
          <c:dPt>
            <c:idx val="2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D-B48C-41B7-92DB-AA74AF954F50}"/>
              </c:ext>
            </c:extLst>
          </c:dPt>
          <c:dPt>
            <c:idx val="2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F-B48C-41B7-92DB-AA74AF954F50}"/>
              </c:ext>
            </c:extLst>
          </c:dPt>
          <c:dPt>
            <c:idx val="2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1-B48C-41B7-92DB-AA74AF954F50}"/>
              </c:ext>
            </c:extLst>
          </c:dPt>
          <c:dPt>
            <c:idx val="2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3-B48C-41B7-92DB-AA74AF954F50}"/>
              </c:ext>
            </c:extLst>
          </c:dPt>
          <c:dPt>
            <c:idx val="2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5-B48C-41B7-92DB-AA74AF954F50}"/>
              </c:ext>
            </c:extLst>
          </c:dPt>
          <c:dPt>
            <c:idx val="2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7-B48C-41B7-92DB-AA74AF954F50}"/>
              </c:ext>
            </c:extLst>
          </c:dPt>
          <c:dPt>
            <c:idx val="2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9-B48C-41B7-92DB-AA74AF954F50}"/>
              </c:ext>
            </c:extLst>
          </c:dPt>
          <c:dPt>
            <c:idx val="2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B-B48C-41B7-92DB-AA74AF954F50}"/>
              </c:ext>
            </c:extLst>
          </c:dPt>
          <c:dPt>
            <c:idx val="2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D-B48C-41B7-92DB-AA74AF954F50}"/>
              </c:ext>
            </c:extLst>
          </c:dPt>
          <c:dPt>
            <c:idx val="3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F-B48C-41B7-92DB-AA74AF954F50}"/>
              </c:ext>
            </c:extLst>
          </c:dPt>
          <c:dPt>
            <c:idx val="3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1-B48C-41B7-92DB-AA74AF954F50}"/>
              </c:ext>
            </c:extLst>
          </c:dPt>
          <c:dPt>
            <c:idx val="3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3-B48C-41B7-92DB-AA74AF954F50}"/>
              </c:ext>
            </c:extLst>
          </c:dPt>
          <c:dPt>
            <c:idx val="3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5-B48C-41B7-92DB-AA74AF954F50}"/>
              </c:ext>
            </c:extLst>
          </c:dPt>
          <c:dPt>
            <c:idx val="3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7-B48C-41B7-92DB-AA74AF954F50}"/>
              </c:ext>
            </c:extLst>
          </c:dPt>
          <c:dPt>
            <c:idx val="3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9-B48C-41B7-92DB-AA74AF954F50}"/>
              </c:ext>
            </c:extLst>
          </c:dPt>
          <c:dPt>
            <c:idx val="3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B-B48C-41B7-92DB-AA74AF954F50}"/>
              </c:ext>
            </c:extLst>
          </c:dPt>
          <c:dPt>
            <c:idx val="3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D-B48C-41B7-92DB-AA74AF954F50}"/>
              </c:ext>
            </c:extLst>
          </c:dPt>
          <c:dPt>
            <c:idx val="3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F-B48C-41B7-92DB-AA74AF954F50}"/>
              </c:ext>
            </c:extLst>
          </c:dPt>
          <c:dPt>
            <c:idx val="3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1-B48C-41B7-92DB-AA74AF954F50}"/>
              </c:ext>
            </c:extLst>
          </c:dPt>
          <c:dPt>
            <c:idx val="4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3-B48C-41B7-92DB-AA74AF954F50}"/>
              </c:ext>
            </c:extLst>
          </c:dPt>
          <c:dPt>
            <c:idx val="4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5-B48C-41B7-92DB-AA74AF954F50}"/>
              </c:ext>
            </c:extLst>
          </c:dPt>
          <c:dPt>
            <c:idx val="4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7-B48C-41B7-92DB-AA74AF954F50}"/>
              </c:ext>
            </c:extLst>
          </c:dPt>
          <c:dPt>
            <c:idx val="4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9-B48C-41B7-92DB-AA74AF954F50}"/>
              </c:ext>
            </c:extLst>
          </c:dPt>
          <c:dPt>
            <c:idx val="4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B-B48C-41B7-92DB-AA74AF954F50}"/>
              </c:ext>
            </c:extLst>
          </c:dPt>
          <c:dPt>
            <c:idx val="4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D-B48C-41B7-92DB-AA74AF954F50}"/>
              </c:ext>
            </c:extLst>
          </c:dPt>
          <c:dPt>
            <c:idx val="4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F-B48C-41B7-92DB-AA74AF954F50}"/>
              </c:ext>
            </c:extLst>
          </c:dPt>
          <c:dPt>
            <c:idx val="4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1-B48C-41B7-92DB-AA74AF954F50}"/>
              </c:ext>
            </c:extLst>
          </c:dPt>
          <c:dPt>
            <c:idx val="4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3-B48C-41B7-92DB-AA74AF954F50}"/>
              </c:ext>
            </c:extLst>
          </c:dPt>
          <c:dPt>
            <c:idx val="4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5-B48C-41B7-92DB-AA74AF954F50}"/>
              </c:ext>
            </c:extLst>
          </c:dPt>
          <c:dPt>
            <c:idx val="5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7-B48C-41B7-92DB-AA74AF954F50}"/>
              </c:ext>
            </c:extLst>
          </c:dPt>
          <c:dPt>
            <c:idx val="5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9-B48C-41B7-92DB-AA74AF954F50}"/>
              </c:ext>
            </c:extLst>
          </c:dPt>
          <c:dPt>
            <c:idx val="5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B-B48C-41B7-92DB-AA74AF954F50}"/>
              </c:ext>
            </c:extLst>
          </c:dPt>
          <c:dPt>
            <c:idx val="5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D-B48C-41B7-92DB-AA74AF954F50}"/>
              </c:ext>
            </c:extLst>
          </c:dPt>
          <c:dPt>
            <c:idx val="5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F-B48C-41B7-92DB-AA74AF954F50}"/>
              </c:ext>
            </c:extLst>
          </c:dPt>
          <c:dPt>
            <c:idx val="5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1-B48C-41B7-92DB-AA74AF954F50}"/>
              </c:ext>
            </c:extLst>
          </c:dPt>
          <c:dPt>
            <c:idx val="5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3-B48C-41B7-92DB-AA74AF954F50}"/>
              </c:ext>
            </c:extLst>
          </c:dPt>
          <c:dPt>
            <c:idx val="5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5-B48C-41B7-92DB-AA74AF954F50}"/>
              </c:ext>
            </c:extLst>
          </c:dPt>
          <c:dPt>
            <c:idx val="5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7-B48C-41B7-92DB-AA74AF954F50}"/>
              </c:ext>
            </c:extLst>
          </c:dPt>
          <c:dPt>
            <c:idx val="5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9-B48C-41B7-92DB-AA74AF954F50}"/>
              </c:ext>
            </c:extLst>
          </c:dPt>
          <c:dPt>
            <c:idx val="6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B-B48C-41B7-92DB-AA74AF954F50}"/>
              </c:ext>
            </c:extLst>
          </c:dPt>
          <c:dPt>
            <c:idx val="6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D-B48C-41B7-92DB-AA74AF954F50}"/>
              </c:ext>
            </c:extLst>
          </c:dPt>
          <c:dPt>
            <c:idx val="6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F-B48C-41B7-92DB-AA74AF954F50}"/>
              </c:ext>
            </c:extLst>
          </c:dPt>
          <c:dPt>
            <c:idx val="6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81-B48C-41B7-92DB-AA74AF954F50}"/>
              </c:ext>
            </c:extLst>
          </c:dPt>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Лист1!$B$2:$B$693</c:f>
              <c:numCache>
                <c:formatCode>General</c:formatCode>
                <c:ptCount val="692"/>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12</c:v>
                </c:pt>
                <c:pt idx="26">
                  <c:v>12</c:v>
                </c:pt>
                <c:pt idx="27">
                  <c:v>12</c:v>
                </c:pt>
                <c:pt idx="28">
                  <c:v>12</c:v>
                </c:pt>
                <c:pt idx="29">
                  <c:v>12</c:v>
                </c:pt>
                <c:pt idx="30">
                  <c:v>16</c:v>
                </c:pt>
                <c:pt idx="31">
                  <c:v>16</c:v>
                </c:pt>
                <c:pt idx="32">
                  <c:v>16</c:v>
                </c:pt>
                <c:pt idx="33">
                  <c:v>16</c:v>
                </c:pt>
                <c:pt idx="34">
                  <c:v>16</c:v>
                </c:pt>
                <c:pt idx="35">
                  <c:v>16</c:v>
                </c:pt>
                <c:pt idx="36">
                  <c:v>16</c:v>
                </c:pt>
                <c:pt idx="37">
                  <c:v>16</c:v>
                </c:pt>
                <c:pt idx="38">
                  <c:v>16</c:v>
                </c:pt>
                <c:pt idx="39">
                  <c:v>16</c:v>
                </c:pt>
                <c:pt idx="40">
                  <c:v>16</c:v>
                </c:pt>
                <c:pt idx="41">
                  <c:v>16</c:v>
                </c:pt>
                <c:pt idx="42">
                  <c:v>16</c:v>
                </c:pt>
                <c:pt idx="43">
                  <c:v>16</c:v>
                </c:pt>
                <c:pt idx="44">
                  <c:v>16</c:v>
                </c:pt>
                <c:pt idx="45">
                  <c:v>16</c:v>
                </c:pt>
                <c:pt idx="46">
                  <c:v>16</c:v>
                </c:pt>
                <c:pt idx="47">
                  <c:v>16</c:v>
                </c:pt>
                <c:pt idx="48">
                  <c:v>16</c:v>
                </c:pt>
                <c:pt idx="49">
                  <c:v>16</c:v>
                </c:pt>
                <c:pt idx="50">
                  <c:v>16</c:v>
                </c:pt>
                <c:pt idx="51">
                  <c:v>16</c:v>
                </c:pt>
                <c:pt idx="52">
                  <c:v>16</c:v>
                </c:pt>
                <c:pt idx="53">
                  <c:v>16</c:v>
                </c:pt>
                <c:pt idx="54">
                  <c:v>16</c:v>
                </c:pt>
                <c:pt idx="55">
                  <c:v>16</c:v>
                </c:pt>
                <c:pt idx="56">
                  <c:v>16</c:v>
                </c:pt>
                <c:pt idx="57">
                  <c:v>16</c:v>
                </c:pt>
                <c:pt idx="58">
                  <c:v>16</c:v>
                </c:pt>
                <c:pt idx="59">
                  <c:v>16</c:v>
                </c:pt>
                <c:pt idx="60">
                  <c:v>16</c:v>
                </c:pt>
                <c:pt idx="61">
                  <c:v>16</c:v>
                </c:pt>
                <c:pt idx="62">
                  <c:v>16</c:v>
                </c:pt>
                <c:pt idx="63">
                  <c:v>16</c:v>
                </c:pt>
              </c:numCache>
            </c:numRef>
          </c:val>
          <c:smooth val="0"/>
          <c:extLst xmlns:c16r2="http://schemas.microsoft.com/office/drawing/2015/06/chart">
            <c:ext xmlns:c16="http://schemas.microsoft.com/office/drawing/2014/chart" uri="{C3380CC4-5D6E-409C-BE32-E72D297353CC}">
              <c16:uniqueId val="{00000082-B48C-41B7-92DB-AA74AF954F50}"/>
            </c:ext>
          </c:extLst>
        </c:ser>
        <c:ser>
          <c:idx val="1"/>
          <c:order val="1"/>
          <c:tx>
            <c:strRef>
              <c:f>Лист1!$C$1</c:f>
              <c:strCache>
                <c:ptCount val="1"/>
                <c:pt idx="0">
                  <c:v>Столбец2</c:v>
                </c:pt>
              </c:strCache>
            </c:strRef>
          </c:tx>
          <c:spPr>
            <a:ln>
              <a:solidFill>
                <a:schemeClr val="accent3">
                  <a:lumMod val="75000"/>
                </a:schemeClr>
              </a:solidFill>
            </a:ln>
          </c:spPr>
          <c:marker>
            <c:symbol val="none"/>
          </c:marker>
          <c:dPt>
            <c:idx val="0"/>
            <c:bubble3D val="0"/>
            <c:spPr>
              <a:ln>
                <a:noFill/>
              </a:ln>
            </c:spPr>
            <c:extLst xmlns:c16r2="http://schemas.microsoft.com/office/drawing/2015/06/chart">
              <c:ext xmlns:c16="http://schemas.microsoft.com/office/drawing/2014/chart" uri="{C3380CC4-5D6E-409C-BE32-E72D297353CC}">
                <c16:uniqueId val="{00000084-B48C-41B7-92DB-AA74AF954F50}"/>
              </c:ext>
            </c:extLst>
          </c:dPt>
          <c:dPt>
            <c:idx val="1"/>
            <c:bubble3D val="0"/>
            <c:spPr>
              <a:ln>
                <a:noFill/>
              </a:ln>
            </c:spPr>
            <c:extLst xmlns:c16r2="http://schemas.microsoft.com/office/drawing/2015/06/chart">
              <c:ext xmlns:c16="http://schemas.microsoft.com/office/drawing/2014/chart" uri="{C3380CC4-5D6E-409C-BE32-E72D297353CC}">
                <c16:uniqueId val="{00000086-B48C-41B7-92DB-AA74AF954F50}"/>
              </c:ext>
            </c:extLst>
          </c:dPt>
          <c:dPt>
            <c:idx val="2"/>
            <c:bubble3D val="0"/>
            <c:spPr>
              <a:ln>
                <a:noFill/>
              </a:ln>
            </c:spPr>
            <c:extLst xmlns:c16r2="http://schemas.microsoft.com/office/drawing/2015/06/chart">
              <c:ext xmlns:c16="http://schemas.microsoft.com/office/drawing/2014/chart" uri="{C3380CC4-5D6E-409C-BE32-E72D297353CC}">
                <c16:uniqueId val="{00000088-B48C-41B7-92DB-AA74AF954F50}"/>
              </c:ext>
            </c:extLst>
          </c:dPt>
          <c:dPt>
            <c:idx val="3"/>
            <c:bubble3D val="0"/>
            <c:spPr>
              <a:ln>
                <a:noFill/>
              </a:ln>
            </c:spPr>
            <c:extLst xmlns:c16r2="http://schemas.microsoft.com/office/drawing/2015/06/chart">
              <c:ext xmlns:c16="http://schemas.microsoft.com/office/drawing/2014/chart" uri="{C3380CC4-5D6E-409C-BE32-E72D297353CC}">
                <c16:uniqueId val="{0000008A-B48C-41B7-92DB-AA74AF954F50}"/>
              </c:ext>
            </c:extLst>
          </c:dPt>
          <c:dPt>
            <c:idx val="4"/>
            <c:bubble3D val="0"/>
            <c:spPr>
              <a:ln>
                <a:noFill/>
              </a:ln>
            </c:spPr>
            <c:extLst xmlns:c16r2="http://schemas.microsoft.com/office/drawing/2015/06/chart">
              <c:ext xmlns:c16="http://schemas.microsoft.com/office/drawing/2014/chart" uri="{C3380CC4-5D6E-409C-BE32-E72D297353CC}">
                <c16:uniqueId val="{0000008C-B48C-41B7-92DB-AA74AF954F50}"/>
              </c:ext>
            </c:extLst>
          </c:dPt>
          <c:dPt>
            <c:idx val="5"/>
            <c:bubble3D val="0"/>
            <c:spPr>
              <a:ln>
                <a:noFill/>
              </a:ln>
            </c:spPr>
            <c:extLst xmlns:c16r2="http://schemas.microsoft.com/office/drawing/2015/06/chart">
              <c:ext xmlns:c16="http://schemas.microsoft.com/office/drawing/2014/chart" uri="{C3380CC4-5D6E-409C-BE32-E72D297353CC}">
                <c16:uniqueId val="{0000008E-B48C-41B7-92DB-AA74AF954F50}"/>
              </c:ext>
            </c:extLst>
          </c:dPt>
          <c:dPt>
            <c:idx val="6"/>
            <c:bubble3D val="0"/>
            <c:spPr>
              <a:ln>
                <a:noFill/>
              </a:ln>
            </c:spPr>
            <c:extLst xmlns:c16r2="http://schemas.microsoft.com/office/drawing/2015/06/chart">
              <c:ext xmlns:c16="http://schemas.microsoft.com/office/drawing/2014/chart" uri="{C3380CC4-5D6E-409C-BE32-E72D297353CC}">
                <c16:uniqueId val="{00000090-B48C-41B7-92DB-AA74AF954F50}"/>
              </c:ext>
            </c:extLst>
          </c:dPt>
          <c:dPt>
            <c:idx val="7"/>
            <c:bubble3D val="0"/>
            <c:spPr>
              <a:ln>
                <a:noFill/>
              </a:ln>
            </c:spPr>
            <c:extLst xmlns:c16r2="http://schemas.microsoft.com/office/drawing/2015/06/chart">
              <c:ext xmlns:c16="http://schemas.microsoft.com/office/drawing/2014/chart" uri="{C3380CC4-5D6E-409C-BE32-E72D297353CC}">
                <c16:uniqueId val="{00000092-B48C-41B7-92DB-AA74AF954F50}"/>
              </c:ext>
            </c:extLst>
          </c:dPt>
          <c:dPt>
            <c:idx val="8"/>
            <c:bubble3D val="0"/>
            <c:spPr>
              <a:ln>
                <a:noFill/>
              </a:ln>
            </c:spPr>
            <c:extLst xmlns:c16r2="http://schemas.microsoft.com/office/drawing/2015/06/chart">
              <c:ext xmlns:c16="http://schemas.microsoft.com/office/drawing/2014/chart" uri="{C3380CC4-5D6E-409C-BE32-E72D297353CC}">
                <c16:uniqueId val="{00000094-B48C-41B7-92DB-AA74AF954F50}"/>
              </c:ext>
            </c:extLst>
          </c:dPt>
          <c:dPt>
            <c:idx val="9"/>
            <c:bubble3D val="0"/>
            <c:spPr>
              <a:ln>
                <a:noFill/>
              </a:ln>
            </c:spPr>
            <c:extLst xmlns:c16r2="http://schemas.microsoft.com/office/drawing/2015/06/chart">
              <c:ext xmlns:c16="http://schemas.microsoft.com/office/drawing/2014/chart" uri="{C3380CC4-5D6E-409C-BE32-E72D297353CC}">
                <c16:uniqueId val="{00000096-B48C-41B7-92DB-AA74AF954F50}"/>
              </c:ext>
            </c:extLst>
          </c:dPt>
          <c:dPt>
            <c:idx val="10"/>
            <c:bubble3D val="0"/>
            <c:spPr>
              <a:ln>
                <a:noFill/>
              </a:ln>
            </c:spPr>
            <c:extLst xmlns:c16r2="http://schemas.microsoft.com/office/drawing/2015/06/chart">
              <c:ext xmlns:c16="http://schemas.microsoft.com/office/drawing/2014/chart" uri="{C3380CC4-5D6E-409C-BE32-E72D297353CC}">
                <c16:uniqueId val="{00000098-B48C-41B7-92DB-AA74AF954F50}"/>
              </c:ext>
            </c:extLst>
          </c:dPt>
          <c:dPt>
            <c:idx val="11"/>
            <c:bubble3D val="0"/>
            <c:spPr>
              <a:ln>
                <a:noFill/>
              </a:ln>
            </c:spPr>
            <c:extLst xmlns:c16r2="http://schemas.microsoft.com/office/drawing/2015/06/chart">
              <c:ext xmlns:c16="http://schemas.microsoft.com/office/drawing/2014/chart" uri="{C3380CC4-5D6E-409C-BE32-E72D297353CC}">
                <c16:uniqueId val="{0000009A-B48C-41B7-92DB-AA74AF954F50}"/>
              </c:ext>
            </c:extLst>
          </c:dPt>
          <c:dPt>
            <c:idx val="12"/>
            <c:bubble3D val="0"/>
            <c:spPr>
              <a:ln>
                <a:noFill/>
              </a:ln>
            </c:spPr>
            <c:extLst xmlns:c16r2="http://schemas.microsoft.com/office/drawing/2015/06/chart">
              <c:ext xmlns:c16="http://schemas.microsoft.com/office/drawing/2014/chart" uri="{C3380CC4-5D6E-409C-BE32-E72D297353CC}">
                <c16:uniqueId val="{0000009C-B48C-41B7-92DB-AA74AF954F50}"/>
              </c:ext>
            </c:extLst>
          </c:dPt>
          <c:dPt>
            <c:idx val="13"/>
            <c:bubble3D val="0"/>
            <c:spPr>
              <a:ln>
                <a:noFill/>
              </a:ln>
            </c:spPr>
            <c:extLst xmlns:c16r2="http://schemas.microsoft.com/office/drawing/2015/06/chart">
              <c:ext xmlns:c16="http://schemas.microsoft.com/office/drawing/2014/chart" uri="{C3380CC4-5D6E-409C-BE32-E72D297353CC}">
                <c16:uniqueId val="{0000009E-B48C-41B7-92DB-AA74AF954F50}"/>
              </c:ext>
            </c:extLst>
          </c:dPt>
          <c:dPt>
            <c:idx val="14"/>
            <c:bubble3D val="0"/>
            <c:spPr>
              <a:ln>
                <a:noFill/>
              </a:ln>
            </c:spPr>
            <c:extLst xmlns:c16r2="http://schemas.microsoft.com/office/drawing/2015/06/chart">
              <c:ext xmlns:c16="http://schemas.microsoft.com/office/drawing/2014/chart" uri="{C3380CC4-5D6E-409C-BE32-E72D297353CC}">
                <c16:uniqueId val="{000000A0-B48C-41B7-92DB-AA74AF954F50}"/>
              </c:ext>
            </c:extLst>
          </c:dPt>
          <c:dPt>
            <c:idx val="15"/>
            <c:bubble3D val="0"/>
            <c:spPr>
              <a:ln>
                <a:noFill/>
              </a:ln>
            </c:spPr>
            <c:extLst xmlns:c16r2="http://schemas.microsoft.com/office/drawing/2015/06/chart">
              <c:ext xmlns:c16="http://schemas.microsoft.com/office/drawing/2014/chart" uri="{C3380CC4-5D6E-409C-BE32-E72D297353CC}">
                <c16:uniqueId val="{000000A2-B48C-41B7-92DB-AA74AF954F50}"/>
              </c:ext>
            </c:extLst>
          </c:dPt>
          <c:dPt>
            <c:idx val="16"/>
            <c:bubble3D val="0"/>
            <c:spPr>
              <a:ln>
                <a:noFill/>
              </a:ln>
            </c:spPr>
            <c:extLst xmlns:c16r2="http://schemas.microsoft.com/office/drawing/2015/06/chart">
              <c:ext xmlns:c16="http://schemas.microsoft.com/office/drawing/2014/chart" uri="{C3380CC4-5D6E-409C-BE32-E72D297353CC}">
                <c16:uniqueId val="{000000A4-B48C-41B7-92DB-AA74AF954F50}"/>
              </c:ext>
            </c:extLst>
          </c:dPt>
          <c:dPt>
            <c:idx val="17"/>
            <c:bubble3D val="0"/>
            <c:spPr>
              <a:ln>
                <a:noFill/>
              </a:ln>
            </c:spPr>
            <c:extLst xmlns:c16r2="http://schemas.microsoft.com/office/drawing/2015/06/chart">
              <c:ext xmlns:c16="http://schemas.microsoft.com/office/drawing/2014/chart" uri="{C3380CC4-5D6E-409C-BE32-E72D297353CC}">
                <c16:uniqueId val="{000000A6-B48C-41B7-92DB-AA74AF954F50}"/>
              </c:ext>
            </c:extLst>
          </c:dPt>
          <c:dPt>
            <c:idx val="18"/>
            <c:bubble3D val="0"/>
            <c:spPr>
              <a:ln>
                <a:noFill/>
              </a:ln>
            </c:spPr>
            <c:extLst xmlns:c16r2="http://schemas.microsoft.com/office/drawing/2015/06/chart">
              <c:ext xmlns:c16="http://schemas.microsoft.com/office/drawing/2014/chart" uri="{C3380CC4-5D6E-409C-BE32-E72D297353CC}">
                <c16:uniqueId val="{000000A8-B48C-41B7-92DB-AA74AF954F50}"/>
              </c:ext>
            </c:extLst>
          </c:dPt>
          <c:dPt>
            <c:idx val="19"/>
            <c:bubble3D val="0"/>
            <c:spPr>
              <a:ln>
                <a:noFill/>
              </a:ln>
            </c:spPr>
            <c:extLst xmlns:c16r2="http://schemas.microsoft.com/office/drawing/2015/06/chart">
              <c:ext xmlns:c16="http://schemas.microsoft.com/office/drawing/2014/chart" uri="{C3380CC4-5D6E-409C-BE32-E72D297353CC}">
                <c16:uniqueId val="{000000AA-B48C-41B7-92DB-AA74AF954F50}"/>
              </c:ext>
            </c:extLst>
          </c:dPt>
          <c:dPt>
            <c:idx val="20"/>
            <c:bubble3D val="0"/>
            <c:spPr>
              <a:ln>
                <a:noFill/>
              </a:ln>
            </c:spPr>
            <c:extLst xmlns:c16r2="http://schemas.microsoft.com/office/drawing/2015/06/chart">
              <c:ext xmlns:c16="http://schemas.microsoft.com/office/drawing/2014/chart" uri="{C3380CC4-5D6E-409C-BE32-E72D297353CC}">
                <c16:uniqueId val="{000000AC-B48C-41B7-92DB-AA74AF954F50}"/>
              </c:ext>
            </c:extLst>
          </c:dPt>
          <c:dPt>
            <c:idx val="21"/>
            <c:bubble3D val="0"/>
            <c:spPr>
              <a:ln>
                <a:noFill/>
              </a:ln>
            </c:spPr>
            <c:extLst xmlns:c16r2="http://schemas.microsoft.com/office/drawing/2015/06/chart">
              <c:ext xmlns:c16="http://schemas.microsoft.com/office/drawing/2014/chart" uri="{C3380CC4-5D6E-409C-BE32-E72D297353CC}">
                <c16:uniqueId val="{000000AE-B48C-41B7-92DB-AA74AF954F50}"/>
              </c:ext>
            </c:extLst>
          </c:dPt>
          <c:dPt>
            <c:idx val="22"/>
            <c:bubble3D val="0"/>
            <c:spPr>
              <a:ln>
                <a:noFill/>
              </a:ln>
            </c:spPr>
            <c:extLst xmlns:c16r2="http://schemas.microsoft.com/office/drawing/2015/06/chart">
              <c:ext xmlns:c16="http://schemas.microsoft.com/office/drawing/2014/chart" uri="{C3380CC4-5D6E-409C-BE32-E72D297353CC}">
                <c16:uniqueId val="{000000B0-B48C-41B7-92DB-AA74AF954F50}"/>
              </c:ext>
            </c:extLst>
          </c:dPt>
          <c:dPt>
            <c:idx val="23"/>
            <c:bubble3D val="0"/>
            <c:spPr>
              <a:ln>
                <a:noFill/>
              </a:ln>
            </c:spPr>
            <c:extLst xmlns:c16r2="http://schemas.microsoft.com/office/drawing/2015/06/chart">
              <c:ext xmlns:c16="http://schemas.microsoft.com/office/drawing/2014/chart" uri="{C3380CC4-5D6E-409C-BE32-E72D297353CC}">
                <c16:uniqueId val="{000000B2-B48C-41B7-92DB-AA74AF954F50}"/>
              </c:ext>
            </c:extLst>
          </c:dPt>
          <c:dPt>
            <c:idx val="24"/>
            <c:bubble3D val="0"/>
            <c:spPr>
              <a:ln>
                <a:noFill/>
              </a:ln>
            </c:spPr>
            <c:extLst xmlns:c16r2="http://schemas.microsoft.com/office/drawing/2015/06/chart">
              <c:ext xmlns:c16="http://schemas.microsoft.com/office/drawing/2014/chart" uri="{C3380CC4-5D6E-409C-BE32-E72D297353CC}">
                <c16:uniqueId val="{000000B4-B48C-41B7-92DB-AA74AF954F50}"/>
              </c:ext>
            </c:extLst>
          </c:dPt>
          <c:dPt>
            <c:idx val="25"/>
            <c:bubble3D val="0"/>
            <c:spPr>
              <a:ln>
                <a:noFill/>
              </a:ln>
            </c:spPr>
            <c:extLst xmlns:c16r2="http://schemas.microsoft.com/office/drawing/2015/06/chart">
              <c:ext xmlns:c16="http://schemas.microsoft.com/office/drawing/2014/chart" uri="{C3380CC4-5D6E-409C-BE32-E72D297353CC}">
                <c16:uniqueId val="{000000B6-B48C-41B7-92DB-AA74AF954F50}"/>
              </c:ext>
            </c:extLst>
          </c:dPt>
          <c:dPt>
            <c:idx val="26"/>
            <c:bubble3D val="0"/>
            <c:spPr>
              <a:ln>
                <a:noFill/>
              </a:ln>
            </c:spPr>
            <c:extLst xmlns:c16r2="http://schemas.microsoft.com/office/drawing/2015/06/chart">
              <c:ext xmlns:c16="http://schemas.microsoft.com/office/drawing/2014/chart" uri="{C3380CC4-5D6E-409C-BE32-E72D297353CC}">
                <c16:uniqueId val="{000000B8-B48C-41B7-92DB-AA74AF954F50}"/>
              </c:ext>
            </c:extLst>
          </c:dPt>
          <c:dPt>
            <c:idx val="27"/>
            <c:bubble3D val="0"/>
            <c:spPr>
              <a:ln>
                <a:noFill/>
              </a:ln>
            </c:spPr>
            <c:extLst xmlns:c16r2="http://schemas.microsoft.com/office/drawing/2015/06/chart">
              <c:ext xmlns:c16="http://schemas.microsoft.com/office/drawing/2014/chart" uri="{C3380CC4-5D6E-409C-BE32-E72D297353CC}">
                <c16:uniqueId val="{000000BA-B48C-41B7-92DB-AA74AF954F50}"/>
              </c:ext>
            </c:extLst>
          </c:dPt>
          <c:dPt>
            <c:idx val="28"/>
            <c:bubble3D val="0"/>
            <c:spPr>
              <a:ln>
                <a:noFill/>
              </a:ln>
            </c:spPr>
            <c:extLst xmlns:c16r2="http://schemas.microsoft.com/office/drawing/2015/06/chart">
              <c:ext xmlns:c16="http://schemas.microsoft.com/office/drawing/2014/chart" uri="{C3380CC4-5D6E-409C-BE32-E72D297353CC}">
                <c16:uniqueId val="{000000BC-B48C-41B7-92DB-AA74AF954F50}"/>
              </c:ext>
            </c:extLst>
          </c:dPt>
          <c:dPt>
            <c:idx val="29"/>
            <c:bubble3D val="0"/>
            <c:spPr>
              <a:ln>
                <a:noFill/>
              </a:ln>
            </c:spPr>
            <c:extLst xmlns:c16r2="http://schemas.microsoft.com/office/drawing/2015/06/chart">
              <c:ext xmlns:c16="http://schemas.microsoft.com/office/drawing/2014/chart" uri="{C3380CC4-5D6E-409C-BE32-E72D297353CC}">
                <c16:uniqueId val="{000000BE-B48C-41B7-92DB-AA74AF954F50}"/>
              </c:ext>
            </c:extLst>
          </c:dPt>
          <c:dPt>
            <c:idx val="30"/>
            <c:bubble3D val="0"/>
            <c:spPr>
              <a:ln>
                <a:noFill/>
              </a:ln>
            </c:spPr>
            <c:extLst xmlns:c16r2="http://schemas.microsoft.com/office/drawing/2015/06/chart">
              <c:ext xmlns:c16="http://schemas.microsoft.com/office/drawing/2014/chart" uri="{C3380CC4-5D6E-409C-BE32-E72D297353CC}">
                <c16:uniqueId val="{000000C0-B48C-41B7-92DB-AA74AF954F50}"/>
              </c:ext>
            </c:extLst>
          </c:dPt>
          <c:dPt>
            <c:idx val="31"/>
            <c:bubble3D val="0"/>
            <c:spPr>
              <a:ln>
                <a:noFill/>
              </a:ln>
            </c:spPr>
            <c:extLst xmlns:c16r2="http://schemas.microsoft.com/office/drawing/2015/06/chart">
              <c:ext xmlns:c16="http://schemas.microsoft.com/office/drawing/2014/chart" uri="{C3380CC4-5D6E-409C-BE32-E72D297353CC}">
                <c16:uniqueId val="{000000C2-B48C-41B7-92DB-AA74AF954F50}"/>
              </c:ext>
            </c:extLst>
          </c:dPt>
          <c:dPt>
            <c:idx val="32"/>
            <c:bubble3D val="0"/>
            <c:spPr>
              <a:ln>
                <a:noFill/>
              </a:ln>
            </c:spPr>
            <c:extLst xmlns:c16r2="http://schemas.microsoft.com/office/drawing/2015/06/chart">
              <c:ext xmlns:c16="http://schemas.microsoft.com/office/drawing/2014/chart" uri="{C3380CC4-5D6E-409C-BE32-E72D297353CC}">
                <c16:uniqueId val="{000000C4-B48C-41B7-92DB-AA74AF954F50}"/>
              </c:ext>
            </c:extLst>
          </c:dPt>
          <c:dPt>
            <c:idx val="33"/>
            <c:bubble3D val="0"/>
            <c:spPr>
              <a:ln>
                <a:noFill/>
              </a:ln>
            </c:spPr>
            <c:extLst xmlns:c16r2="http://schemas.microsoft.com/office/drawing/2015/06/chart">
              <c:ext xmlns:c16="http://schemas.microsoft.com/office/drawing/2014/chart" uri="{C3380CC4-5D6E-409C-BE32-E72D297353CC}">
                <c16:uniqueId val="{000000C6-B48C-41B7-92DB-AA74AF954F50}"/>
              </c:ext>
            </c:extLst>
          </c:dPt>
          <c:dPt>
            <c:idx val="34"/>
            <c:bubble3D val="0"/>
            <c:spPr>
              <a:ln>
                <a:noFill/>
              </a:ln>
            </c:spPr>
            <c:extLst xmlns:c16r2="http://schemas.microsoft.com/office/drawing/2015/06/chart">
              <c:ext xmlns:c16="http://schemas.microsoft.com/office/drawing/2014/chart" uri="{C3380CC4-5D6E-409C-BE32-E72D297353CC}">
                <c16:uniqueId val="{000000C8-B48C-41B7-92DB-AA74AF954F50}"/>
              </c:ext>
            </c:extLst>
          </c:dPt>
          <c:dPt>
            <c:idx val="35"/>
            <c:bubble3D val="0"/>
            <c:spPr>
              <a:ln>
                <a:noFill/>
              </a:ln>
            </c:spPr>
            <c:extLst xmlns:c16r2="http://schemas.microsoft.com/office/drawing/2015/06/chart">
              <c:ext xmlns:c16="http://schemas.microsoft.com/office/drawing/2014/chart" uri="{C3380CC4-5D6E-409C-BE32-E72D297353CC}">
                <c16:uniqueId val="{000000CA-B48C-41B7-92DB-AA74AF954F50}"/>
              </c:ext>
            </c:extLst>
          </c:dPt>
          <c:dPt>
            <c:idx val="36"/>
            <c:bubble3D val="0"/>
            <c:spPr>
              <a:ln>
                <a:noFill/>
              </a:ln>
            </c:spPr>
            <c:extLst xmlns:c16r2="http://schemas.microsoft.com/office/drawing/2015/06/chart">
              <c:ext xmlns:c16="http://schemas.microsoft.com/office/drawing/2014/chart" uri="{C3380CC4-5D6E-409C-BE32-E72D297353CC}">
                <c16:uniqueId val="{000000CC-B48C-41B7-92DB-AA74AF954F50}"/>
              </c:ext>
            </c:extLst>
          </c:dPt>
          <c:dPt>
            <c:idx val="37"/>
            <c:bubble3D val="0"/>
            <c:spPr>
              <a:ln>
                <a:noFill/>
              </a:ln>
            </c:spPr>
            <c:extLst xmlns:c16r2="http://schemas.microsoft.com/office/drawing/2015/06/chart">
              <c:ext xmlns:c16="http://schemas.microsoft.com/office/drawing/2014/chart" uri="{C3380CC4-5D6E-409C-BE32-E72D297353CC}">
                <c16:uniqueId val="{000000CE-B48C-41B7-92DB-AA74AF954F50}"/>
              </c:ext>
            </c:extLst>
          </c:dPt>
          <c:dPt>
            <c:idx val="38"/>
            <c:bubble3D val="0"/>
            <c:spPr>
              <a:ln>
                <a:noFill/>
              </a:ln>
            </c:spPr>
            <c:extLst xmlns:c16r2="http://schemas.microsoft.com/office/drawing/2015/06/chart">
              <c:ext xmlns:c16="http://schemas.microsoft.com/office/drawing/2014/chart" uri="{C3380CC4-5D6E-409C-BE32-E72D297353CC}">
                <c16:uniqueId val="{000000D0-B48C-41B7-92DB-AA74AF954F50}"/>
              </c:ext>
            </c:extLst>
          </c:dPt>
          <c:dPt>
            <c:idx val="39"/>
            <c:bubble3D val="0"/>
            <c:spPr>
              <a:ln>
                <a:noFill/>
              </a:ln>
            </c:spPr>
            <c:extLst xmlns:c16r2="http://schemas.microsoft.com/office/drawing/2015/06/chart">
              <c:ext xmlns:c16="http://schemas.microsoft.com/office/drawing/2014/chart" uri="{C3380CC4-5D6E-409C-BE32-E72D297353CC}">
                <c16:uniqueId val="{000000D2-B48C-41B7-92DB-AA74AF954F50}"/>
              </c:ext>
            </c:extLst>
          </c:dPt>
          <c:dPt>
            <c:idx val="40"/>
            <c:bubble3D val="0"/>
            <c:spPr>
              <a:ln>
                <a:noFill/>
              </a:ln>
            </c:spPr>
            <c:extLst xmlns:c16r2="http://schemas.microsoft.com/office/drawing/2015/06/chart">
              <c:ext xmlns:c16="http://schemas.microsoft.com/office/drawing/2014/chart" uri="{C3380CC4-5D6E-409C-BE32-E72D297353CC}">
                <c16:uniqueId val="{000000D4-B48C-41B7-92DB-AA74AF954F50}"/>
              </c:ext>
            </c:extLst>
          </c:dPt>
          <c:dPt>
            <c:idx val="41"/>
            <c:bubble3D val="0"/>
            <c:spPr>
              <a:ln>
                <a:noFill/>
              </a:ln>
            </c:spPr>
            <c:extLst xmlns:c16r2="http://schemas.microsoft.com/office/drawing/2015/06/chart">
              <c:ext xmlns:c16="http://schemas.microsoft.com/office/drawing/2014/chart" uri="{C3380CC4-5D6E-409C-BE32-E72D297353CC}">
                <c16:uniqueId val="{000000D6-B48C-41B7-92DB-AA74AF954F50}"/>
              </c:ext>
            </c:extLst>
          </c:dPt>
          <c:dPt>
            <c:idx val="42"/>
            <c:bubble3D val="0"/>
            <c:spPr>
              <a:ln>
                <a:noFill/>
              </a:ln>
            </c:spPr>
            <c:extLst xmlns:c16r2="http://schemas.microsoft.com/office/drawing/2015/06/chart">
              <c:ext xmlns:c16="http://schemas.microsoft.com/office/drawing/2014/chart" uri="{C3380CC4-5D6E-409C-BE32-E72D297353CC}">
                <c16:uniqueId val="{000000D8-B48C-41B7-92DB-AA74AF954F50}"/>
              </c:ext>
            </c:extLst>
          </c:dPt>
          <c:dPt>
            <c:idx val="43"/>
            <c:bubble3D val="0"/>
            <c:spPr>
              <a:ln>
                <a:noFill/>
              </a:ln>
            </c:spPr>
            <c:extLst xmlns:c16r2="http://schemas.microsoft.com/office/drawing/2015/06/chart">
              <c:ext xmlns:c16="http://schemas.microsoft.com/office/drawing/2014/chart" uri="{C3380CC4-5D6E-409C-BE32-E72D297353CC}">
                <c16:uniqueId val="{000000DA-B48C-41B7-92DB-AA74AF954F50}"/>
              </c:ext>
            </c:extLst>
          </c:dPt>
          <c:dPt>
            <c:idx val="44"/>
            <c:bubble3D val="0"/>
            <c:spPr>
              <a:ln>
                <a:noFill/>
              </a:ln>
            </c:spPr>
            <c:extLst xmlns:c16r2="http://schemas.microsoft.com/office/drawing/2015/06/chart">
              <c:ext xmlns:c16="http://schemas.microsoft.com/office/drawing/2014/chart" uri="{C3380CC4-5D6E-409C-BE32-E72D297353CC}">
                <c16:uniqueId val="{000000DC-B48C-41B7-92DB-AA74AF954F50}"/>
              </c:ext>
            </c:extLst>
          </c:dPt>
          <c:dPt>
            <c:idx val="45"/>
            <c:bubble3D val="0"/>
            <c:spPr>
              <a:ln>
                <a:noFill/>
              </a:ln>
            </c:spPr>
            <c:extLst xmlns:c16r2="http://schemas.microsoft.com/office/drawing/2015/06/chart">
              <c:ext xmlns:c16="http://schemas.microsoft.com/office/drawing/2014/chart" uri="{C3380CC4-5D6E-409C-BE32-E72D297353CC}">
                <c16:uniqueId val="{000000DE-B48C-41B7-92DB-AA74AF954F50}"/>
              </c:ext>
            </c:extLst>
          </c:dPt>
          <c:dPt>
            <c:idx val="46"/>
            <c:bubble3D val="0"/>
            <c:spPr>
              <a:ln>
                <a:noFill/>
              </a:ln>
            </c:spPr>
            <c:extLst xmlns:c16r2="http://schemas.microsoft.com/office/drawing/2015/06/chart">
              <c:ext xmlns:c16="http://schemas.microsoft.com/office/drawing/2014/chart" uri="{C3380CC4-5D6E-409C-BE32-E72D297353CC}">
                <c16:uniqueId val="{000000E0-B48C-41B7-92DB-AA74AF954F50}"/>
              </c:ext>
            </c:extLst>
          </c:dPt>
          <c:dPt>
            <c:idx val="47"/>
            <c:bubble3D val="0"/>
            <c:spPr>
              <a:ln>
                <a:noFill/>
              </a:ln>
            </c:spPr>
            <c:extLst xmlns:c16r2="http://schemas.microsoft.com/office/drawing/2015/06/chart">
              <c:ext xmlns:c16="http://schemas.microsoft.com/office/drawing/2014/chart" uri="{C3380CC4-5D6E-409C-BE32-E72D297353CC}">
                <c16:uniqueId val="{000000E2-B48C-41B7-92DB-AA74AF954F50}"/>
              </c:ext>
            </c:extLst>
          </c:dPt>
          <c:dPt>
            <c:idx val="48"/>
            <c:bubble3D val="0"/>
            <c:spPr>
              <a:ln>
                <a:noFill/>
              </a:ln>
            </c:spPr>
            <c:extLst xmlns:c16r2="http://schemas.microsoft.com/office/drawing/2015/06/chart">
              <c:ext xmlns:c16="http://schemas.microsoft.com/office/drawing/2014/chart" uri="{C3380CC4-5D6E-409C-BE32-E72D297353CC}">
                <c16:uniqueId val="{000000E4-B48C-41B7-92DB-AA74AF954F50}"/>
              </c:ext>
            </c:extLst>
          </c:dPt>
          <c:dPt>
            <c:idx val="49"/>
            <c:bubble3D val="0"/>
            <c:spPr>
              <a:ln>
                <a:noFill/>
              </a:ln>
            </c:spPr>
            <c:extLst xmlns:c16r2="http://schemas.microsoft.com/office/drawing/2015/06/chart">
              <c:ext xmlns:c16="http://schemas.microsoft.com/office/drawing/2014/chart" uri="{C3380CC4-5D6E-409C-BE32-E72D297353CC}">
                <c16:uniqueId val="{000000E6-B48C-41B7-92DB-AA74AF954F50}"/>
              </c:ext>
            </c:extLst>
          </c:dPt>
          <c:dPt>
            <c:idx val="50"/>
            <c:bubble3D val="0"/>
            <c:spPr>
              <a:ln>
                <a:noFill/>
              </a:ln>
            </c:spPr>
            <c:extLst xmlns:c16r2="http://schemas.microsoft.com/office/drawing/2015/06/chart">
              <c:ext xmlns:c16="http://schemas.microsoft.com/office/drawing/2014/chart" uri="{C3380CC4-5D6E-409C-BE32-E72D297353CC}">
                <c16:uniqueId val="{000000E8-B48C-41B7-92DB-AA74AF954F50}"/>
              </c:ext>
            </c:extLst>
          </c:dPt>
          <c:dPt>
            <c:idx val="51"/>
            <c:bubble3D val="0"/>
            <c:spPr>
              <a:ln>
                <a:noFill/>
              </a:ln>
            </c:spPr>
            <c:extLst xmlns:c16r2="http://schemas.microsoft.com/office/drawing/2015/06/chart">
              <c:ext xmlns:c16="http://schemas.microsoft.com/office/drawing/2014/chart" uri="{C3380CC4-5D6E-409C-BE32-E72D297353CC}">
                <c16:uniqueId val="{000000EA-B48C-41B7-92DB-AA74AF954F50}"/>
              </c:ext>
            </c:extLst>
          </c:dPt>
          <c:dPt>
            <c:idx val="52"/>
            <c:bubble3D val="0"/>
            <c:spPr>
              <a:ln>
                <a:noFill/>
              </a:ln>
            </c:spPr>
            <c:extLst xmlns:c16r2="http://schemas.microsoft.com/office/drawing/2015/06/chart">
              <c:ext xmlns:c16="http://schemas.microsoft.com/office/drawing/2014/chart" uri="{C3380CC4-5D6E-409C-BE32-E72D297353CC}">
                <c16:uniqueId val="{000000EC-B48C-41B7-92DB-AA74AF954F50}"/>
              </c:ext>
            </c:extLst>
          </c:dPt>
          <c:dPt>
            <c:idx val="53"/>
            <c:bubble3D val="0"/>
            <c:spPr>
              <a:ln>
                <a:noFill/>
              </a:ln>
            </c:spPr>
            <c:extLst xmlns:c16r2="http://schemas.microsoft.com/office/drawing/2015/06/chart">
              <c:ext xmlns:c16="http://schemas.microsoft.com/office/drawing/2014/chart" uri="{C3380CC4-5D6E-409C-BE32-E72D297353CC}">
                <c16:uniqueId val="{000000EE-B48C-41B7-92DB-AA74AF954F50}"/>
              </c:ext>
            </c:extLst>
          </c:dPt>
          <c:dPt>
            <c:idx val="54"/>
            <c:bubble3D val="0"/>
            <c:spPr>
              <a:ln>
                <a:noFill/>
              </a:ln>
            </c:spPr>
            <c:extLst xmlns:c16r2="http://schemas.microsoft.com/office/drawing/2015/06/chart">
              <c:ext xmlns:c16="http://schemas.microsoft.com/office/drawing/2014/chart" uri="{C3380CC4-5D6E-409C-BE32-E72D297353CC}">
                <c16:uniqueId val="{000000F0-B48C-41B7-92DB-AA74AF954F50}"/>
              </c:ext>
            </c:extLst>
          </c:dPt>
          <c:dPt>
            <c:idx val="55"/>
            <c:bubble3D val="0"/>
            <c:spPr>
              <a:ln>
                <a:noFill/>
              </a:ln>
            </c:spPr>
            <c:extLst xmlns:c16r2="http://schemas.microsoft.com/office/drawing/2015/06/chart">
              <c:ext xmlns:c16="http://schemas.microsoft.com/office/drawing/2014/chart" uri="{C3380CC4-5D6E-409C-BE32-E72D297353CC}">
                <c16:uniqueId val="{000000F2-B48C-41B7-92DB-AA74AF954F50}"/>
              </c:ext>
            </c:extLst>
          </c:dPt>
          <c:dPt>
            <c:idx val="56"/>
            <c:bubble3D val="0"/>
            <c:spPr>
              <a:ln>
                <a:noFill/>
              </a:ln>
            </c:spPr>
            <c:extLst xmlns:c16r2="http://schemas.microsoft.com/office/drawing/2015/06/chart">
              <c:ext xmlns:c16="http://schemas.microsoft.com/office/drawing/2014/chart" uri="{C3380CC4-5D6E-409C-BE32-E72D297353CC}">
                <c16:uniqueId val="{000000F4-B48C-41B7-92DB-AA74AF954F50}"/>
              </c:ext>
            </c:extLst>
          </c:dPt>
          <c:dPt>
            <c:idx val="57"/>
            <c:bubble3D val="0"/>
            <c:spPr>
              <a:ln>
                <a:noFill/>
              </a:ln>
            </c:spPr>
            <c:extLst xmlns:c16r2="http://schemas.microsoft.com/office/drawing/2015/06/chart">
              <c:ext xmlns:c16="http://schemas.microsoft.com/office/drawing/2014/chart" uri="{C3380CC4-5D6E-409C-BE32-E72D297353CC}">
                <c16:uniqueId val="{000000F6-B48C-41B7-92DB-AA74AF954F50}"/>
              </c:ext>
            </c:extLst>
          </c:dPt>
          <c:dPt>
            <c:idx val="58"/>
            <c:bubble3D val="0"/>
            <c:spPr>
              <a:ln>
                <a:noFill/>
              </a:ln>
            </c:spPr>
            <c:extLst xmlns:c16r2="http://schemas.microsoft.com/office/drawing/2015/06/chart">
              <c:ext xmlns:c16="http://schemas.microsoft.com/office/drawing/2014/chart" uri="{C3380CC4-5D6E-409C-BE32-E72D297353CC}">
                <c16:uniqueId val="{000000F8-B48C-41B7-92DB-AA74AF954F50}"/>
              </c:ext>
            </c:extLst>
          </c:dPt>
          <c:dPt>
            <c:idx val="59"/>
            <c:bubble3D val="0"/>
            <c:spPr>
              <a:ln>
                <a:noFill/>
              </a:ln>
            </c:spPr>
            <c:extLst xmlns:c16r2="http://schemas.microsoft.com/office/drawing/2015/06/chart">
              <c:ext xmlns:c16="http://schemas.microsoft.com/office/drawing/2014/chart" uri="{C3380CC4-5D6E-409C-BE32-E72D297353CC}">
                <c16:uniqueId val="{000000FA-B48C-41B7-92DB-AA74AF954F50}"/>
              </c:ext>
            </c:extLst>
          </c:dPt>
          <c:dPt>
            <c:idx val="60"/>
            <c:bubble3D val="0"/>
            <c:spPr>
              <a:ln>
                <a:noFill/>
              </a:ln>
            </c:spPr>
            <c:extLst xmlns:c16r2="http://schemas.microsoft.com/office/drawing/2015/06/chart">
              <c:ext xmlns:c16="http://schemas.microsoft.com/office/drawing/2014/chart" uri="{C3380CC4-5D6E-409C-BE32-E72D297353CC}">
                <c16:uniqueId val="{000000FC-B48C-41B7-92DB-AA74AF954F50}"/>
              </c:ext>
            </c:extLst>
          </c:dPt>
          <c:dPt>
            <c:idx val="61"/>
            <c:bubble3D val="0"/>
            <c:spPr>
              <a:ln>
                <a:noFill/>
              </a:ln>
            </c:spPr>
            <c:extLst xmlns:c16r2="http://schemas.microsoft.com/office/drawing/2015/06/chart">
              <c:ext xmlns:c16="http://schemas.microsoft.com/office/drawing/2014/chart" uri="{C3380CC4-5D6E-409C-BE32-E72D297353CC}">
                <c16:uniqueId val="{000000FE-B48C-41B7-92DB-AA74AF954F50}"/>
              </c:ext>
            </c:extLst>
          </c:dPt>
          <c:dPt>
            <c:idx val="62"/>
            <c:bubble3D val="0"/>
            <c:spPr>
              <a:ln>
                <a:noFill/>
              </a:ln>
            </c:spPr>
            <c:extLst xmlns:c16r2="http://schemas.microsoft.com/office/drawing/2015/06/chart">
              <c:ext xmlns:c16="http://schemas.microsoft.com/office/drawing/2014/chart" uri="{C3380CC4-5D6E-409C-BE32-E72D297353CC}">
                <c16:uniqueId val="{00000100-B48C-41B7-92DB-AA74AF954F50}"/>
              </c:ext>
            </c:extLst>
          </c:dPt>
          <c:dPt>
            <c:idx val="63"/>
            <c:bubble3D val="0"/>
            <c:spPr>
              <a:ln>
                <a:noFill/>
              </a:ln>
            </c:spPr>
            <c:extLst xmlns:c16r2="http://schemas.microsoft.com/office/drawing/2015/06/chart">
              <c:ext xmlns:c16="http://schemas.microsoft.com/office/drawing/2014/chart" uri="{C3380CC4-5D6E-409C-BE32-E72D297353CC}">
                <c16:uniqueId val="{00000102-B48C-41B7-92DB-AA74AF954F50}"/>
              </c:ext>
            </c:extLst>
          </c:dPt>
          <c:dPt>
            <c:idx val="64"/>
            <c:bubble3D val="0"/>
            <c:spPr>
              <a:ln>
                <a:noFill/>
              </a:ln>
            </c:spPr>
            <c:extLst xmlns:c16r2="http://schemas.microsoft.com/office/drawing/2015/06/chart">
              <c:ext xmlns:c16="http://schemas.microsoft.com/office/drawing/2014/chart" uri="{C3380CC4-5D6E-409C-BE32-E72D297353CC}">
                <c16:uniqueId val="{00000104-B48C-41B7-92DB-AA74AF954F50}"/>
              </c:ext>
            </c:extLst>
          </c:dPt>
          <c:dPt>
            <c:idx val="65"/>
            <c:bubble3D val="0"/>
            <c:spPr>
              <a:ln>
                <a:noFill/>
              </a:ln>
            </c:spPr>
            <c:extLst xmlns:c16r2="http://schemas.microsoft.com/office/drawing/2015/06/chart">
              <c:ext xmlns:c16="http://schemas.microsoft.com/office/drawing/2014/chart" uri="{C3380CC4-5D6E-409C-BE32-E72D297353CC}">
                <c16:uniqueId val="{00000106-B48C-41B7-92DB-AA74AF954F50}"/>
              </c:ext>
            </c:extLst>
          </c:dPt>
          <c:dPt>
            <c:idx val="66"/>
            <c:bubble3D val="0"/>
            <c:spPr>
              <a:ln>
                <a:noFill/>
              </a:ln>
            </c:spPr>
            <c:extLst xmlns:c16r2="http://schemas.microsoft.com/office/drawing/2015/06/chart">
              <c:ext xmlns:c16="http://schemas.microsoft.com/office/drawing/2014/chart" uri="{C3380CC4-5D6E-409C-BE32-E72D297353CC}">
                <c16:uniqueId val="{00000108-B48C-41B7-92DB-AA74AF954F50}"/>
              </c:ext>
            </c:extLst>
          </c:dPt>
          <c:dPt>
            <c:idx val="67"/>
            <c:bubble3D val="0"/>
            <c:spPr>
              <a:ln>
                <a:noFill/>
              </a:ln>
            </c:spPr>
            <c:extLst xmlns:c16r2="http://schemas.microsoft.com/office/drawing/2015/06/chart">
              <c:ext xmlns:c16="http://schemas.microsoft.com/office/drawing/2014/chart" uri="{C3380CC4-5D6E-409C-BE32-E72D297353CC}">
                <c16:uniqueId val="{0000010A-B48C-41B7-92DB-AA74AF954F50}"/>
              </c:ext>
            </c:extLst>
          </c:dPt>
          <c:dPt>
            <c:idx val="68"/>
            <c:bubble3D val="0"/>
            <c:spPr>
              <a:ln>
                <a:noFill/>
              </a:ln>
            </c:spPr>
            <c:extLst xmlns:c16r2="http://schemas.microsoft.com/office/drawing/2015/06/chart">
              <c:ext xmlns:c16="http://schemas.microsoft.com/office/drawing/2014/chart" uri="{C3380CC4-5D6E-409C-BE32-E72D297353CC}">
                <c16:uniqueId val="{0000010C-B48C-41B7-92DB-AA74AF954F50}"/>
              </c:ext>
            </c:extLst>
          </c:dPt>
          <c:dPt>
            <c:idx val="69"/>
            <c:bubble3D val="0"/>
            <c:spPr>
              <a:ln>
                <a:noFill/>
              </a:ln>
            </c:spPr>
            <c:extLst xmlns:c16r2="http://schemas.microsoft.com/office/drawing/2015/06/chart">
              <c:ext xmlns:c16="http://schemas.microsoft.com/office/drawing/2014/chart" uri="{C3380CC4-5D6E-409C-BE32-E72D297353CC}">
                <c16:uniqueId val="{0000010E-B48C-41B7-92DB-AA74AF954F50}"/>
              </c:ext>
            </c:extLst>
          </c:dPt>
          <c:dPt>
            <c:idx val="70"/>
            <c:bubble3D val="0"/>
            <c:spPr>
              <a:ln>
                <a:noFill/>
              </a:ln>
            </c:spPr>
            <c:extLst xmlns:c16r2="http://schemas.microsoft.com/office/drawing/2015/06/chart">
              <c:ext xmlns:c16="http://schemas.microsoft.com/office/drawing/2014/chart" uri="{C3380CC4-5D6E-409C-BE32-E72D297353CC}">
                <c16:uniqueId val="{00000110-B48C-41B7-92DB-AA74AF954F50}"/>
              </c:ext>
            </c:extLst>
          </c:dPt>
          <c:dPt>
            <c:idx val="71"/>
            <c:bubble3D val="0"/>
            <c:spPr>
              <a:ln>
                <a:noFill/>
              </a:ln>
            </c:spPr>
            <c:extLst xmlns:c16r2="http://schemas.microsoft.com/office/drawing/2015/06/chart">
              <c:ext xmlns:c16="http://schemas.microsoft.com/office/drawing/2014/chart" uri="{C3380CC4-5D6E-409C-BE32-E72D297353CC}">
                <c16:uniqueId val="{00000112-B48C-41B7-92DB-AA74AF954F50}"/>
              </c:ext>
            </c:extLst>
          </c:dPt>
          <c:dPt>
            <c:idx val="72"/>
            <c:bubble3D val="0"/>
            <c:spPr>
              <a:ln>
                <a:noFill/>
              </a:ln>
            </c:spPr>
            <c:extLst xmlns:c16r2="http://schemas.microsoft.com/office/drawing/2015/06/chart">
              <c:ext xmlns:c16="http://schemas.microsoft.com/office/drawing/2014/chart" uri="{C3380CC4-5D6E-409C-BE32-E72D297353CC}">
                <c16:uniqueId val="{00000114-B48C-41B7-92DB-AA74AF954F50}"/>
              </c:ext>
            </c:extLst>
          </c:dPt>
          <c:dPt>
            <c:idx val="73"/>
            <c:bubble3D val="0"/>
            <c:spPr>
              <a:ln>
                <a:noFill/>
              </a:ln>
            </c:spPr>
            <c:extLst xmlns:c16r2="http://schemas.microsoft.com/office/drawing/2015/06/chart">
              <c:ext xmlns:c16="http://schemas.microsoft.com/office/drawing/2014/chart" uri="{C3380CC4-5D6E-409C-BE32-E72D297353CC}">
                <c16:uniqueId val="{00000116-B48C-41B7-92DB-AA74AF954F50}"/>
              </c:ext>
            </c:extLst>
          </c:dPt>
          <c:dPt>
            <c:idx val="74"/>
            <c:bubble3D val="0"/>
            <c:spPr>
              <a:ln>
                <a:noFill/>
              </a:ln>
            </c:spPr>
            <c:extLst xmlns:c16r2="http://schemas.microsoft.com/office/drawing/2015/06/chart">
              <c:ext xmlns:c16="http://schemas.microsoft.com/office/drawing/2014/chart" uri="{C3380CC4-5D6E-409C-BE32-E72D297353CC}">
                <c16:uniqueId val="{00000118-B48C-41B7-92DB-AA74AF954F50}"/>
              </c:ext>
            </c:extLst>
          </c:dPt>
          <c:dPt>
            <c:idx val="75"/>
            <c:bubble3D val="0"/>
            <c:spPr>
              <a:ln>
                <a:noFill/>
              </a:ln>
            </c:spPr>
            <c:extLst xmlns:c16r2="http://schemas.microsoft.com/office/drawing/2015/06/chart">
              <c:ext xmlns:c16="http://schemas.microsoft.com/office/drawing/2014/chart" uri="{C3380CC4-5D6E-409C-BE32-E72D297353CC}">
                <c16:uniqueId val="{0000011A-B48C-41B7-92DB-AA74AF954F50}"/>
              </c:ext>
            </c:extLst>
          </c:dPt>
          <c:dPt>
            <c:idx val="76"/>
            <c:bubble3D val="0"/>
            <c:spPr>
              <a:ln>
                <a:noFill/>
              </a:ln>
            </c:spPr>
            <c:extLst xmlns:c16r2="http://schemas.microsoft.com/office/drawing/2015/06/chart">
              <c:ext xmlns:c16="http://schemas.microsoft.com/office/drawing/2014/chart" uri="{C3380CC4-5D6E-409C-BE32-E72D297353CC}">
                <c16:uniqueId val="{0000011C-B48C-41B7-92DB-AA74AF954F50}"/>
              </c:ext>
            </c:extLst>
          </c:dPt>
          <c:dPt>
            <c:idx val="77"/>
            <c:bubble3D val="0"/>
            <c:spPr>
              <a:ln>
                <a:noFill/>
              </a:ln>
            </c:spPr>
            <c:extLst xmlns:c16r2="http://schemas.microsoft.com/office/drawing/2015/06/chart">
              <c:ext xmlns:c16="http://schemas.microsoft.com/office/drawing/2014/chart" uri="{C3380CC4-5D6E-409C-BE32-E72D297353CC}">
                <c16:uniqueId val="{0000011E-B48C-41B7-92DB-AA74AF954F50}"/>
              </c:ext>
            </c:extLst>
          </c:dPt>
          <c:dPt>
            <c:idx val="78"/>
            <c:bubble3D val="0"/>
            <c:spPr>
              <a:ln>
                <a:noFill/>
              </a:ln>
            </c:spPr>
            <c:extLst xmlns:c16r2="http://schemas.microsoft.com/office/drawing/2015/06/chart">
              <c:ext xmlns:c16="http://schemas.microsoft.com/office/drawing/2014/chart" uri="{C3380CC4-5D6E-409C-BE32-E72D297353CC}">
                <c16:uniqueId val="{00000120-B48C-41B7-92DB-AA74AF954F50}"/>
              </c:ext>
            </c:extLst>
          </c:dPt>
          <c:dPt>
            <c:idx val="79"/>
            <c:bubble3D val="0"/>
            <c:spPr>
              <a:ln>
                <a:noFill/>
              </a:ln>
            </c:spPr>
            <c:extLst xmlns:c16r2="http://schemas.microsoft.com/office/drawing/2015/06/chart">
              <c:ext xmlns:c16="http://schemas.microsoft.com/office/drawing/2014/chart" uri="{C3380CC4-5D6E-409C-BE32-E72D297353CC}">
                <c16:uniqueId val="{00000122-B48C-41B7-92DB-AA74AF954F50}"/>
              </c:ext>
            </c:extLst>
          </c:dPt>
          <c:dPt>
            <c:idx val="80"/>
            <c:bubble3D val="0"/>
            <c:spPr>
              <a:ln>
                <a:noFill/>
              </a:ln>
            </c:spPr>
            <c:extLst xmlns:c16r2="http://schemas.microsoft.com/office/drawing/2015/06/chart">
              <c:ext xmlns:c16="http://schemas.microsoft.com/office/drawing/2014/chart" uri="{C3380CC4-5D6E-409C-BE32-E72D297353CC}">
                <c16:uniqueId val="{00000124-B48C-41B7-92DB-AA74AF954F50}"/>
              </c:ext>
            </c:extLst>
          </c:dPt>
          <c:dPt>
            <c:idx val="81"/>
            <c:bubble3D val="0"/>
            <c:spPr>
              <a:ln>
                <a:noFill/>
              </a:ln>
            </c:spPr>
            <c:extLst xmlns:c16r2="http://schemas.microsoft.com/office/drawing/2015/06/chart">
              <c:ext xmlns:c16="http://schemas.microsoft.com/office/drawing/2014/chart" uri="{C3380CC4-5D6E-409C-BE32-E72D297353CC}">
                <c16:uniqueId val="{00000126-B48C-41B7-92DB-AA74AF954F50}"/>
              </c:ext>
            </c:extLst>
          </c:dPt>
          <c:dPt>
            <c:idx val="82"/>
            <c:bubble3D val="0"/>
            <c:spPr>
              <a:ln>
                <a:noFill/>
              </a:ln>
            </c:spPr>
            <c:extLst xmlns:c16r2="http://schemas.microsoft.com/office/drawing/2015/06/chart">
              <c:ext xmlns:c16="http://schemas.microsoft.com/office/drawing/2014/chart" uri="{C3380CC4-5D6E-409C-BE32-E72D297353CC}">
                <c16:uniqueId val="{00000128-B48C-41B7-92DB-AA74AF954F50}"/>
              </c:ext>
            </c:extLst>
          </c:dPt>
          <c:dPt>
            <c:idx val="83"/>
            <c:bubble3D val="0"/>
            <c:spPr>
              <a:ln>
                <a:noFill/>
              </a:ln>
            </c:spPr>
            <c:extLst xmlns:c16r2="http://schemas.microsoft.com/office/drawing/2015/06/chart">
              <c:ext xmlns:c16="http://schemas.microsoft.com/office/drawing/2014/chart" uri="{C3380CC4-5D6E-409C-BE32-E72D297353CC}">
                <c16:uniqueId val="{0000012A-B48C-41B7-92DB-AA74AF954F50}"/>
              </c:ext>
            </c:extLst>
          </c:dPt>
          <c:dPt>
            <c:idx val="84"/>
            <c:bubble3D val="0"/>
            <c:spPr>
              <a:ln>
                <a:noFill/>
              </a:ln>
            </c:spPr>
            <c:extLst xmlns:c16r2="http://schemas.microsoft.com/office/drawing/2015/06/chart">
              <c:ext xmlns:c16="http://schemas.microsoft.com/office/drawing/2014/chart" uri="{C3380CC4-5D6E-409C-BE32-E72D297353CC}">
                <c16:uniqueId val="{0000012C-B48C-41B7-92DB-AA74AF954F50}"/>
              </c:ext>
            </c:extLst>
          </c:dPt>
          <c:dPt>
            <c:idx val="85"/>
            <c:bubble3D val="0"/>
            <c:spPr>
              <a:ln>
                <a:noFill/>
              </a:ln>
            </c:spPr>
            <c:extLst xmlns:c16r2="http://schemas.microsoft.com/office/drawing/2015/06/chart">
              <c:ext xmlns:c16="http://schemas.microsoft.com/office/drawing/2014/chart" uri="{C3380CC4-5D6E-409C-BE32-E72D297353CC}">
                <c16:uniqueId val="{0000012E-B48C-41B7-92DB-AA74AF954F50}"/>
              </c:ext>
            </c:extLst>
          </c:dPt>
          <c:dPt>
            <c:idx val="86"/>
            <c:bubble3D val="0"/>
            <c:spPr>
              <a:ln>
                <a:noFill/>
              </a:ln>
            </c:spPr>
            <c:extLst xmlns:c16r2="http://schemas.microsoft.com/office/drawing/2015/06/chart">
              <c:ext xmlns:c16="http://schemas.microsoft.com/office/drawing/2014/chart" uri="{C3380CC4-5D6E-409C-BE32-E72D297353CC}">
                <c16:uniqueId val="{00000130-B48C-41B7-92DB-AA74AF954F50}"/>
              </c:ext>
            </c:extLst>
          </c:dPt>
          <c:dPt>
            <c:idx val="87"/>
            <c:bubble3D val="0"/>
            <c:spPr>
              <a:ln>
                <a:noFill/>
              </a:ln>
            </c:spPr>
            <c:extLst xmlns:c16r2="http://schemas.microsoft.com/office/drawing/2015/06/chart">
              <c:ext xmlns:c16="http://schemas.microsoft.com/office/drawing/2014/chart" uri="{C3380CC4-5D6E-409C-BE32-E72D297353CC}">
                <c16:uniqueId val="{00000132-B48C-41B7-92DB-AA74AF954F50}"/>
              </c:ext>
            </c:extLst>
          </c:dPt>
          <c:dPt>
            <c:idx val="88"/>
            <c:bubble3D val="0"/>
            <c:spPr>
              <a:ln>
                <a:noFill/>
              </a:ln>
            </c:spPr>
            <c:extLst xmlns:c16r2="http://schemas.microsoft.com/office/drawing/2015/06/chart">
              <c:ext xmlns:c16="http://schemas.microsoft.com/office/drawing/2014/chart" uri="{C3380CC4-5D6E-409C-BE32-E72D297353CC}">
                <c16:uniqueId val="{00000134-B48C-41B7-92DB-AA74AF954F50}"/>
              </c:ext>
            </c:extLst>
          </c:dPt>
          <c:dPt>
            <c:idx val="89"/>
            <c:bubble3D val="0"/>
            <c:spPr>
              <a:ln>
                <a:noFill/>
              </a:ln>
            </c:spPr>
            <c:extLst xmlns:c16r2="http://schemas.microsoft.com/office/drawing/2015/06/chart">
              <c:ext xmlns:c16="http://schemas.microsoft.com/office/drawing/2014/chart" uri="{C3380CC4-5D6E-409C-BE32-E72D297353CC}">
                <c16:uniqueId val="{00000136-B48C-41B7-92DB-AA74AF954F50}"/>
              </c:ext>
            </c:extLst>
          </c:dPt>
          <c:dPt>
            <c:idx val="90"/>
            <c:bubble3D val="0"/>
            <c:spPr>
              <a:ln>
                <a:noFill/>
              </a:ln>
            </c:spPr>
            <c:extLst xmlns:c16r2="http://schemas.microsoft.com/office/drawing/2015/06/chart">
              <c:ext xmlns:c16="http://schemas.microsoft.com/office/drawing/2014/chart" uri="{C3380CC4-5D6E-409C-BE32-E72D297353CC}">
                <c16:uniqueId val="{00000138-B48C-41B7-92DB-AA74AF954F50}"/>
              </c:ext>
            </c:extLst>
          </c:dPt>
          <c:dPt>
            <c:idx val="91"/>
            <c:bubble3D val="0"/>
            <c:spPr>
              <a:ln>
                <a:noFill/>
              </a:ln>
            </c:spPr>
            <c:extLst xmlns:c16r2="http://schemas.microsoft.com/office/drawing/2015/06/chart">
              <c:ext xmlns:c16="http://schemas.microsoft.com/office/drawing/2014/chart" uri="{C3380CC4-5D6E-409C-BE32-E72D297353CC}">
                <c16:uniqueId val="{0000013A-B48C-41B7-92DB-AA74AF954F50}"/>
              </c:ext>
            </c:extLst>
          </c:dPt>
          <c:dPt>
            <c:idx val="92"/>
            <c:bubble3D val="0"/>
            <c:spPr>
              <a:ln>
                <a:noFill/>
              </a:ln>
            </c:spPr>
            <c:extLst xmlns:c16r2="http://schemas.microsoft.com/office/drawing/2015/06/chart">
              <c:ext xmlns:c16="http://schemas.microsoft.com/office/drawing/2014/chart" uri="{C3380CC4-5D6E-409C-BE32-E72D297353CC}">
                <c16:uniqueId val="{0000013C-B48C-41B7-92DB-AA74AF954F50}"/>
              </c:ext>
            </c:extLst>
          </c:dPt>
          <c:dPt>
            <c:idx val="93"/>
            <c:bubble3D val="0"/>
            <c:spPr>
              <a:ln>
                <a:noFill/>
              </a:ln>
            </c:spPr>
            <c:extLst xmlns:c16r2="http://schemas.microsoft.com/office/drawing/2015/06/chart">
              <c:ext xmlns:c16="http://schemas.microsoft.com/office/drawing/2014/chart" uri="{C3380CC4-5D6E-409C-BE32-E72D297353CC}">
                <c16:uniqueId val="{0000013E-B48C-41B7-92DB-AA74AF954F50}"/>
              </c:ext>
            </c:extLst>
          </c:dPt>
          <c:dPt>
            <c:idx val="94"/>
            <c:bubble3D val="0"/>
            <c:spPr>
              <a:ln>
                <a:noFill/>
              </a:ln>
            </c:spPr>
            <c:extLst xmlns:c16r2="http://schemas.microsoft.com/office/drawing/2015/06/chart">
              <c:ext xmlns:c16="http://schemas.microsoft.com/office/drawing/2014/chart" uri="{C3380CC4-5D6E-409C-BE32-E72D297353CC}">
                <c16:uniqueId val="{00000140-B48C-41B7-92DB-AA74AF954F50}"/>
              </c:ext>
            </c:extLst>
          </c:dPt>
          <c:dPt>
            <c:idx val="95"/>
            <c:bubble3D val="0"/>
            <c:spPr>
              <a:ln>
                <a:noFill/>
              </a:ln>
            </c:spPr>
            <c:extLst xmlns:c16r2="http://schemas.microsoft.com/office/drawing/2015/06/chart">
              <c:ext xmlns:c16="http://schemas.microsoft.com/office/drawing/2014/chart" uri="{C3380CC4-5D6E-409C-BE32-E72D297353CC}">
                <c16:uniqueId val="{00000142-B48C-41B7-92DB-AA74AF954F50}"/>
              </c:ext>
            </c:extLst>
          </c:dPt>
          <c:dPt>
            <c:idx val="96"/>
            <c:bubble3D val="0"/>
            <c:spPr>
              <a:ln>
                <a:noFill/>
              </a:ln>
            </c:spPr>
            <c:extLst xmlns:c16r2="http://schemas.microsoft.com/office/drawing/2015/06/chart">
              <c:ext xmlns:c16="http://schemas.microsoft.com/office/drawing/2014/chart" uri="{C3380CC4-5D6E-409C-BE32-E72D297353CC}">
                <c16:uniqueId val="{00000144-B48C-41B7-92DB-AA74AF954F50}"/>
              </c:ext>
            </c:extLst>
          </c:dPt>
          <c:dPt>
            <c:idx val="97"/>
            <c:bubble3D val="0"/>
            <c:spPr>
              <a:ln>
                <a:noFill/>
              </a:ln>
            </c:spPr>
            <c:extLst xmlns:c16r2="http://schemas.microsoft.com/office/drawing/2015/06/chart">
              <c:ext xmlns:c16="http://schemas.microsoft.com/office/drawing/2014/chart" uri="{C3380CC4-5D6E-409C-BE32-E72D297353CC}">
                <c16:uniqueId val="{00000146-B48C-41B7-92DB-AA74AF954F50}"/>
              </c:ext>
            </c:extLst>
          </c:dPt>
          <c:dPt>
            <c:idx val="98"/>
            <c:bubble3D val="0"/>
            <c:spPr>
              <a:ln>
                <a:noFill/>
              </a:ln>
            </c:spPr>
            <c:extLst xmlns:c16r2="http://schemas.microsoft.com/office/drawing/2015/06/chart">
              <c:ext xmlns:c16="http://schemas.microsoft.com/office/drawing/2014/chart" uri="{C3380CC4-5D6E-409C-BE32-E72D297353CC}">
                <c16:uniqueId val="{00000148-B48C-41B7-92DB-AA74AF954F50}"/>
              </c:ext>
            </c:extLst>
          </c:dPt>
          <c:dPt>
            <c:idx val="99"/>
            <c:bubble3D val="0"/>
            <c:spPr>
              <a:ln>
                <a:noFill/>
              </a:ln>
            </c:spPr>
            <c:extLst xmlns:c16r2="http://schemas.microsoft.com/office/drawing/2015/06/chart">
              <c:ext xmlns:c16="http://schemas.microsoft.com/office/drawing/2014/chart" uri="{C3380CC4-5D6E-409C-BE32-E72D297353CC}">
                <c16:uniqueId val="{0000014A-B48C-41B7-92DB-AA74AF954F50}"/>
              </c:ext>
            </c:extLst>
          </c:dPt>
          <c:dPt>
            <c:idx val="100"/>
            <c:bubble3D val="0"/>
            <c:spPr>
              <a:ln>
                <a:noFill/>
              </a:ln>
            </c:spPr>
            <c:extLst xmlns:c16r2="http://schemas.microsoft.com/office/drawing/2015/06/chart">
              <c:ext xmlns:c16="http://schemas.microsoft.com/office/drawing/2014/chart" uri="{C3380CC4-5D6E-409C-BE32-E72D297353CC}">
                <c16:uniqueId val="{0000014C-B48C-41B7-92DB-AA74AF954F50}"/>
              </c:ext>
            </c:extLst>
          </c:dPt>
          <c:dPt>
            <c:idx val="101"/>
            <c:bubble3D val="0"/>
            <c:spPr>
              <a:ln>
                <a:noFill/>
              </a:ln>
            </c:spPr>
            <c:extLst xmlns:c16r2="http://schemas.microsoft.com/office/drawing/2015/06/chart">
              <c:ext xmlns:c16="http://schemas.microsoft.com/office/drawing/2014/chart" uri="{C3380CC4-5D6E-409C-BE32-E72D297353CC}">
                <c16:uniqueId val="{0000014E-B48C-41B7-92DB-AA74AF954F50}"/>
              </c:ext>
            </c:extLst>
          </c:dPt>
          <c:dPt>
            <c:idx val="102"/>
            <c:bubble3D val="0"/>
            <c:spPr>
              <a:ln>
                <a:noFill/>
              </a:ln>
            </c:spPr>
            <c:extLst xmlns:c16r2="http://schemas.microsoft.com/office/drawing/2015/06/chart">
              <c:ext xmlns:c16="http://schemas.microsoft.com/office/drawing/2014/chart" uri="{C3380CC4-5D6E-409C-BE32-E72D297353CC}">
                <c16:uniqueId val="{00000150-B48C-41B7-92DB-AA74AF954F50}"/>
              </c:ext>
            </c:extLst>
          </c:dPt>
          <c:dPt>
            <c:idx val="103"/>
            <c:bubble3D val="0"/>
            <c:spPr>
              <a:ln>
                <a:noFill/>
              </a:ln>
            </c:spPr>
            <c:extLst xmlns:c16r2="http://schemas.microsoft.com/office/drawing/2015/06/chart">
              <c:ext xmlns:c16="http://schemas.microsoft.com/office/drawing/2014/chart" uri="{C3380CC4-5D6E-409C-BE32-E72D297353CC}">
                <c16:uniqueId val="{00000152-B48C-41B7-92DB-AA74AF954F50}"/>
              </c:ext>
            </c:extLst>
          </c:dPt>
          <c:dPt>
            <c:idx val="104"/>
            <c:bubble3D val="0"/>
            <c:spPr>
              <a:ln>
                <a:noFill/>
              </a:ln>
            </c:spPr>
            <c:extLst xmlns:c16r2="http://schemas.microsoft.com/office/drawing/2015/06/chart">
              <c:ext xmlns:c16="http://schemas.microsoft.com/office/drawing/2014/chart" uri="{C3380CC4-5D6E-409C-BE32-E72D297353CC}">
                <c16:uniqueId val="{00000154-B48C-41B7-92DB-AA74AF954F50}"/>
              </c:ext>
            </c:extLst>
          </c:dPt>
          <c:dPt>
            <c:idx val="105"/>
            <c:bubble3D val="0"/>
            <c:spPr>
              <a:ln>
                <a:noFill/>
              </a:ln>
            </c:spPr>
            <c:extLst xmlns:c16r2="http://schemas.microsoft.com/office/drawing/2015/06/chart">
              <c:ext xmlns:c16="http://schemas.microsoft.com/office/drawing/2014/chart" uri="{C3380CC4-5D6E-409C-BE32-E72D297353CC}">
                <c16:uniqueId val="{00000156-B48C-41B7-92DB-AA74AF954F50}"/>
              </c:ext>
            </c:extLst>
          </c:dPt>
          <c:dPt>
            <c:idx val="106"/>
            <c:bubble3D val="0"/>
            <c:spPr>
              <a:ln>
                <a:noFill/>
              </a:ln>
            </c:spPr>
            <c:extLst xmlns:c16r2="http://schemas.microsoft.com/office/drawing/2015/06/chart">
              <c:ext xmlns:c16="http://schemas.microsoft.com/office/drawing/2014/chart" uri="{C3380CC4-5D6E-409C-BE32-E72D297353CC}">
                <c16:uniqueId val="{00000158-B48C-41B7-92DB-AA74AF954F50}"/>
              </c:ext>
            </c:extLst>
          </c:dPt>
          <c:dPt>
            <c:idx val="107"/>
            <c:bubble3D val="0"/>
            <c:spPr>
              <a:ln>
                <a:noFill/>
              </a:ln>
            </c:spPr>
            <c:extLst xmlns:c16r2="http://schemas.microsoft.com/office/drawing/2015/06/chart">
              <c:ext xmlns:c16="http://schemas.microsoft.com/office/drawing/2014/chart" uri="{C3380CC4-5D6E-409C-BE32-E72D297353CC}">
                <c16:uniqueId val="{0000015A-B48C-41B7-92DB-AA74AF954F50}"/>
              </c:ext>
            </c:extLst>
          </c:dPt>
          <c:dPt>
            <c:idx val="108"/>
            <c:bubble3D val="0"/>
            <c:spPr>
              <a:ln>
                <a:noFill/>
              </a:ln>
            </c:spPr>
            <c:extLst xmlns:c16r2="http://schemas.microsoft.com/office/drawing/2015/06/chart">
              <c:ext xmlns:c16="http://schemas.microsoft.com/office/drawing/2014/chart" uri="{C3380CC4-5D6E-409C-BE32-E72D297353CC}">
                <c16:uniqueId val="{0000015C-B48C-41B7-92DB-AA74AF954F50}"/>
              </c:ext>
            </c:extLst>
          </c:dPt>
          <c:dPt>
            <c:idx val="109"/>
            <c:bubble3D val="0"/>
            <c:spPr>
              <a:ln>
                <a:noFill/>
              </a:ln>
            </c:spPr>
            <c:extLst xmlns:c16r2="http://schemas.microsoft.com/office/drawing/2015/06/chart">
              <c:ext xmlns:c16="http://schemas.microsoft.com/office/drawing/2014/chart" uri="{C3380CC4-5D6E-409C-BE32-E72D297353CC}">
                <c16:uniqueId val="{0000015E-B48C-41B7-92DB-AA74AF954F50}"/>
              </c:ext>
            </c:extLst>
          </c:dPt>
          <c:dPt>
            <c:idx val="110"/>
            <c:bubble3D val="0"/>
            <c:spPr>
              <a:ln>
                <a:noFill/>
              </a:ln>
            </c:spPr>
            <c:extLst xmlns:c16r2="http://schemas.microsoft.com/office/drawing/2015/06/chart">
              <c:ext xmlns:c16="http://schemas.microsoft.com/office/drawing/2014/chart" uri="{C3380CC4-5D6E-409C-BE32-E72D297353CC}">
                <c16:uniqueId val="{00000160-B48C-41B7-92DB-AA74AF954F50}"/>
              </c:ext>
            </c:extLst>
          </c:dPt>
          <c:dPt>
            <c:idx val="111"/>
            <c:bubble3D val="0"/>
            <c:spPr>
              <a:ln>
                <a:noFill/>
              </a:ln>
            </c:spPr>
            <c:extLst xmlns:c16r2="http://schemas.microsoft.com/office/drawing/2015/06/chart">
              <c:ext xmlns:c16="http://schemas.microsoft.com/office/drawing/2014/chart" uri="{C3380CC4-5D6E-409C-BE32-E72D297353CC}">
                <c16:uniqueId val="{00000162-B48C-41B7-92DB-AA74AF954F50}"/>
              </c:ext>
            </c:extLst>
          </c:dPt>
          <c:dPt>
            <c:idx val="112"/>
            <c:bubble3D val="0"/>
            <c:spPr>
              <a:ln>
                <a:noFill/>
              </a:ln>
            </c:spPr>
            <c:extLst xmlns:c16r2="http://schemas.microsoft.com/office/drawing/2015/06/chart">
              <c:ext xmlns:c16="http://schemas.microsoft.com/office/drawing/2014/chart" uri="{C3380CC4-5D6E-409C-BE32-E72D297353CC}">
                <c16:uniqueId val="{00000164-B48C-41B7-92DB-AA74AF954F50}"/>
              </c:ext>
            </c:extLst>
          </c:dPt>
          <c:dPt>
            <c:idx val="113"/>
            <c:bubble3D val="0"/>
            <c:spPr>
              <a:ln>
                <a:noFill/>
              </a:ln>
            </c:spPr>
            <c:extLst xmlns:c16r2="http://schemas.microsoft.com/office/drawing/2015/06/chart">
              <c:ext xmlns:c16="http://schemas.microsoft.com/office/drawing/2014/chart" uri="{C3380CC4-5D6E-409C-BE32-E72D297353CC}">
                <c16:uniqueId val="{00000166-B48C-41B7-92DB-AA74AF954F50}"/>
              </c:ext>
            </c:extLst>
          </c:dPt>
          <c:dPt>
            <c:idx val="114"/>
            <c:bubble3D val="0"/>
            <c:spPr>
              <a:ln>
                <a:noFill/>
              </a:ln>
            </c:spPr>
            <c:extLst xmlns:c16r2="http://schemas.microsoft.com/office/drawing/2015/06/chart">
              <c:ext xmlns:c16="http://schemas.microsoft.com/office/drawing/2014/chart" uri="{C3380CC4-5D6E-409C-BE32-E72D297353CC}">
                <c16:uniqueId val="{00000168-B48C-41B7-92DB-AA74AF954F50}"/>
              </c:ext>
            </c:extLst>
          </c:dPt>
          <c:dPt>
            <c:idx val="115"/>
            <c:bubble3D val="0"/>
            <c:spPr>
              <a:ln>
                <a:noFill/>
              </a:ln>
            </c:spPr>
            <c:extLst xmlns:c16r2="http://schemas.microsoft.com/office/drawing/2015/06/chart">
              <c:ext xmlns:c16="http://schemas.microsoft.com/office/drawing/2014/chart" uri="{C3380CC4-5D6E-409C-BE32-E72D297353CC}">
                <c16:uniqueId val="{0000016A-B48C-41B7-92DB-AA74AF954F50}"/>
              </c:ext>
            </c:extLst>
          </c:dPt>
          <c:dPt>
            <c:idx val="116"/>
            <c:bubble3D val="0"/>
            <c:spPr>
              <a:ln>
                <a:noFill/>
              </a:ln>
            </c:spPr>
            <c:extLst xmlns:c16r2="http://schemas.microsoft.com/office/drawing/2015/06/chart">
              <c:ext xmlns:c16="http://schemas.microsoft.com/office/drawing/2014/chart" uri="{C3380CC4-5D6E-409C-BE32-E72D297353CC}">
                <c16:uniqueId val="{0000016C-B48C-41B7-92DB-AA74AF954F50}"/>
              </c:ext>
            </c:extLst>
          </c:dPt>
          <c:dPt>
            <c:idx val="117"/>
            <c:bubble3D val="0"/>
            <c:spPr>
              <a:ln>
                <a:noFill/>
              </a:ln>
            </c:spPr>
            <c:extLst xmlns:c16r2="http://schemas.microsoft.com/office/drawing/2015/06/chart">
              <c:ext xmlns:c16="http://schemas.microsoft.com/office/drawing/2014/chart" uri="{C3380CC4-5D6E-409C-BE32-E72D297353CC}">
                <c16:uniqueId val="{0000016E-B48C-41B7-92DB-AA74AF954F50}"/>
              </c:ext>
            </c:extLst>
          </c:dPt>
          <c:dPt>
            <c:idx val="118"/>
            <c:bubble3D val="0"/>
            <c:spPr>
              <a:ln>
                <a:noFill/>
              </a:ln>
            </c:spPr>
            <c:extLst xmlns:c16r2="http://schemas.microsoft.com/office/drawing/2015/06/chart">
              <c:ext xmlns:c16="http://schemas.microsoft.com/office/drawing/2014/chart" uri="{C3380CC4-5D6E-409C-BE32-E72D297353CC}">
                <c16:uniqueId val="{00000170-B48C-41B7-92DB-AA74AF954F50}"/>
              </c:ext>
            </c:extLst>
          </c:dPt>
          <c:dPt>
            <c:idx val="119"/>
            <c:bubble3D val="0"/>
            <c:spPr>
              <a:ln>
                <a:noFill/>
              </a:ln>
            </c:spPr>
            <c:extLst xmlns:c16r2="http://schemas.microsoft.com/office/drawing/2015/06/chart">
              <c:ext xmlns:c16="http://schemas.microsoft.com/office/drawing/2014/chart" uri="{C3380CC4-5D6E-409C-BE32-E72D297353CC}">
                <c16:uniqueId val="{00000172-B48C-41B7-92DB-AA74AF954F50}"/>
              </c:ext>
            </c:extLst>
          </c:dPt>
          <c:dPt>
            <c:idx val="120"/>
            <c:bubble3D val="0"/>
            <c:spPr>
              <a:ln>
                <a:noFill/>
              </a:ln>
            </c:spPr>
            <c:extLst xmlns:c16r2="http://schemas.microsoft.com/office/drawing/2015/06/chart">
              <c:ext xmlns:c16="http://schemas.microsoft.com/office/drawing/2014/chart" uri="{C3380CC4-5D6E-409C-BE32-E72D297353CC}">
                <c16:uniqueId val="{00000174-B48C-41B7-92DB-AA74AF954F50}"/>
              </c:ext>
            </c:extLst>
          </c:dPt>
          <c:dPt>
            <c:idx val="121"/>
            <c:bubble3D val="0"/>
            <c:spPr>
              <a:ln>
                <a:noFill/>
              </a:ln>
            </c:spPr>
            <c:extLst xmlns:c16r2="http://schemas.microsoft.com/office/drawing/2015/06/chart">
              <c:ext xmlns:c16="http://schemas.microsoft.com/office/drawing/2014/chart" uri="{C3380CC4-5D6E-409C-BE32-E72D297353CC}">
                <c16:uniqueId val="{00000176-B48C-41B7-92DB-AA74AF954F50}"/>
              </c:ext>
            </c:extLst>
          </c:dPt>
          <c:dPt>
            <c:idx val="122"/>
            <c:bubble3D val="0"/>
            <c:spPr>
              <a:ln>
                <a:noFill/>
              </a:ln>
            </c:spPr>
            <c:extLst xmlns:c16r2="http://schemas.microsoft.com/office/drawing/2015/06/chart">
              <c:ext xmlns:c16="http://schemas.microsoft.com/office/drawing/2014/chart" uri="{C3380CC4-5D6E-409C-BE32-E72D297353CC}">
                <c16:uniqueId val="{00000178-B48C-41B7-92DB-AA74AF954F50}"/>
              </c:ext>
            </c:extLst>
          </c:dPt>
          <c:dPt>
            <c:idx val="123"/>
            <c:bubble3D val="0"/>
            <c:spPr>
              <a:ln>
                <a:noFill/>
              </a:ln>
            </c:spPr>
            <c:extLst xmlns:c16r2="http://schemas.microsoft.com/office/drawing/2015/06/chart">
              <c:ext xmlns:c16="http://schemas.microsoft.com/office/drawing/2014/chart" uri="{C3380CC4-5D6E-409C-BE32-E72D297353CC}">
                <c16:uniqueId val="{0000017A-B48C-41B7-92DB-AA74AF954F50}"/>
              </c:ext>
            </c:extLst>
          </c:dPt>
          <c:dPt>
            <c:idx val="124"/>
            <c:bubble3D val="0"/>
            <c:spPr>
              <a:ln>
                <a:noFill/>
              </a:ln>
            </c:spPr>
            <c:extLst xmlns:c16r2="http://schemas.microsoft.com/office/drawing/2015/06/chart">
              <c:ext xmlns:c16="http://schemas.microsoft.com/office/drawing/2014/chart" uri="{C3380CC4-5D6E-409C-BE32-E72D297353CC}">
                <c16:uniqueId val="{0000017C-B48C-41B7-92DB-AA74AF954F50}"/>
              </c:ext>
            </c:extLst>
          </c:dPt>
          <c:dPt>
            <c:idx val="125"/>
            <c:bubble3D val="0"/>
            <c:spPr>
              <a:ln>
                <a:noFill/>
              </a:ln>
            </c:spPr>
            <c:extLst xmlns:c16r2="http://schemas.microsoft.com/office/drawing/2015/06/chart">
              <c:ext xmlns:c16="http://schemas.microsoft.com/office/drawing/2014/chart" uri="{C3380CC4-5D6E-409C-BE32-E72D297353CC}">
                <c16:uniqueId val="{0000017E-B48C-41B7-92DB-AA74AF954F50}"/>
              </c:ext>
            </c:extLst>
          </c:dPt>
          <c:dPt>
            <c:idx val="126"/>
            <c:bubble3D val="0"/>
            <c:spPr>
              <a:ln>
                <a:noFill/>
              </a:ln>
            </c:spPr>
            <c:extLst xmlns:c16r2="http://schemas.microsoft.com/office/drawing/2015/06/chart">
              <c:ext xmlns:c16="http://schemas.microsoft.com/office/drawing/2014/chart" uri="{C3380CC4-5D6E-409C-BE32-E72D297353CC}">
                <c16:uniqueId val="{00000180-B48C-41B7-92DB-AA74AF954F50}"/>
              </c:ext>
            </c:extLst>
          </c:dPt>
          <c:dPt>
            <c:idx val="127"/>
            <c:bubble3D val="0"/>
            <c:spPr>
              <a:ln>
                <a:noFill/>
              </a:ln>
            </c:spPr>
            <c:extLst xmlns:c16r2="http://schemas.microsoft.com/office/drawing/2015/06/chart">
              <c:ext xmlns:c16="http://schemas.microsoft.com/office/drawing/2014/chart" uri="{C3380CC4-5D6E-409C-BE32-E72D297353CC}">
                <c16:uniqueId val="{00000182-B48C-41B7-92DB-AA74AF954F50}"/>
              </c:ext>
            </c:extLst>
          </c:dPt>
          <c:dPt>
            <c:idx val="128"/>
            <c:bubble3D val="0"/>
            <c:spPr>
              <a:ln>
                <a:noFill/>
              </a:ln>
            </c:spPr>
            <c:extLst xmlns:c16r2="http://schemas.microsoft.com/office/drawing/2015/06/chart">
              <c:ext xmlns:c16="http://schemas.microsoft.com/office/drawing/2014/chart" uri="{C3380CC4-5D6E-409C-BE32-E72D297353CC}">
                <c16:uniqueId val="{00000184-B48C-41B7-92DB-AA74AF954F50}"/>
              </c:ext>
            </c:extLst>
          </c:dPt>
          <c:dPt>
            <c:idx val="129"/>
            <c:bubble3D val="0"/>
            <c:spPr>
              <a:ln>
                <a:noFill/>
              </a:ln>
            </c:spPr>
            <c:extLst xmlns:c16r2="http://schemas.microsoft.com/office/drawing/2015/06/chart">
              <c:ext xmlns:c16="http://schemas.microsoft.com/office/drawing/2014/chart" uri="{C3380CC4-5D6E-409C-BE32-E72D297353CC}">
                <c16:uniqueId val="{00000186-B48C-41B7-92DB-AA74AF954F50}"/>
              </c:ext>
            </c:extLst>
          </c:dPt>
          <c:dPt>
            <c:idx val="130"/>
            <c:bubble3D val="0"/>
            <c:spPr>
              <a:ln>
                <a:noFill/>
              </a:ln>
            </c:spPr>
            <c:extLst xmlns:c16r2="http://schemas.microsoft.com/office/drawing/2015/06/chart">
              <c:ext xmlns:c16="http://schemas.microsoft.com/office/drawing/2014/chart" uri="{C3380CC4-5D6E-409C-BE32-E72D297353CC}">
                <c16:uniqueId val="{00000188-B48C-41B7-92DB-AA74AF954F50}"/>
              </c:ext>
            </c:extLst>
          </c:dPt>
          <c:dPt>
            <c:idx val="131"/>
            <c:bubble3D val="0"/>
            <c:spPr>
              <a:ln>
                <a:noFill/>
              </a:ln>
            </c:spPr>
            <c:extLst xmlns:c16r2="http://schemas.microsoft.com/office/drawing/2015/06/chart">
              <c:ext xmlns:c16="http://schemas.microsoft.com/office/drawing/2014/chart" uri="{C3380CC4-5D6E-409C-BE32-E72D297353CC}">
                <c16:uniqueId val="{0000018A-B48C-41B7-92DB-AA74AF954F50}"/>
              </c:ext>
            </c:extLst>
          </c:dPt>
          <c:dPt>
            <c:idx val="132"/>
            <c:bubble3D val="0"/>
            <c:spPr>
              <a:ln>
                <a:noFill/>
              </a:ln>
            </c:spPr>
            <c:extLst xmlns:c16r2="http://schemas.microsoft.com/office/drawing/2015/06/chart">
              <c:ext xmlns:c16="http://schemas.microsoft.com/office/drawing/2014/chart" uri="{C3380CC4-5D6E-409C-BE32-E72D297353CC}">
                <c16:uniqueId val="{0000018C-B48C-41B7-92DB-AA74AF954F50}"/>
              </c:ext>
            </c:extLst>
          </c:dPt>
          <c:dPt>
            <c:idx val="133"/>
            <c:bubble3D val="0"/>
            <c:spPr>
              <a:ln>
                <a:noFill/>
              </a:ln>
            </c:spPr>
            <c:extLst xmlns:c16r2="http://schemas.microsoft.com/office/drawing/2015/06/chart">
              <c:ext xmlns:c16="http://schemas.microsoft.com/office/drawing/2014/chart" uri="{C3380CC4-5D6E-409C-BE32-E72D297353CC}">
                <c16:uniqueId val="{0000018E-B48C-41B7-92DB-AA74AF954F50}"/>
              </c:ext>
            </c:extLst>
          </c:dPt>
          <c:dPt>
            <c:idx val="134"/>
            <c:bubble3D val="0"/>
            <c:spPr>
              <a:ln>
                <a:noFill/>
              </a:ln>
            </c:spPr>
            <c:extLst xmlns:c16r2="http://schemas.microsoft.com/office/drawing/2015/06/chart">
              <c:ext xmlns:c16="http://schemas.microsoft.com/office/drawing/2014/chart" uri="{C3380CC4-5D6E-409C-BE32-E72D297353CC}">
                <c16:uniqueId val="{00000190-B48C-41B7-92DB-AA74AF954F50}"/>
              </c:ext>
            </c:extLst>
          </c:dPt>
          <c:dPt>
            <c:idx val="135"/>
            <c:bubble3D val="0"/>
            <c:spPr>
              <a:ln>
                <a:noFill/>
              </a:ln>
            </c:spPr>
            <c:extLst xmlns:c16r2="http://schemas.microsoft.com/office/drawing/2015/06/chart">
              <c:ext xmlns:c16="http://schemas.microsoft.com/office/drawing/2014/chart" uri="{C3380CC4-5D6E-409C-BE32-E72D297353CC}">
                <c16:uniqueId val="{00000192-B48C-41B7-92DB-AA74AF954F50}"/>
              </c:ext>
            </c:extLst>
          </c:dPt>
          <c:dPt>
            <c:idx val="136"/>
            <c:bubble3D val="0"/>
            <c:spPr>
              <a:ln>
                <a:noFill/>
              </a:ln>
            </c:spPr>
            <c:extLst xmlns:c16r2="http://schemas.microsoft.com/office/drawing/2015/06/chart">
              <c:ext xmlns:c16="http://schemas.microsoft.com/office/drawing/2014/chart" uri="{C3380CC4-5D6E-409C-BE32-E72D297353CC}">
                <c16:uniqueId val="{00000194-B48C-41B7-92DB-AA74AF954F50}"/>
              </c:ext>
            </c:extLst>
          </c:dPt>
          <c:dPt>
            <c:idx val="137"/>
            <c:bubble3D val="0"/>
            <c:spPr>
              <a:ln>
                <a:noFill/>
              </a:ln>
            </c:spPr>
            <c:extLst xmlns:c16r2="http://schemas.microsoft.com/office/drawing/2015/06/chart">
              <c:ext xmlns:c16="http://schemas.microsoft.com/office/drawing/2014/chart" uri="{C3380CC4-5D6E-409C-BE32-E72D297353CC}">
                <c16:uniqueId val="{00000196-B48C-41B7-92DB-AA74AF954F50}"/>
              </c:ext>
            </c:extLst>
          </c:dPt>
          <c:dPt>
            <c:idx val="138"/>
            <c:bubble3D val="0"/>
            <c:spPr>
              <a:ln>
                <a:noFill/>
              </a:ln>
            </c:spPr>
            <c:extLst xmlns:c16r2="http://schemas.microsoft.com/office/drawing/2015/06/chart">
              <c:ext xmlns:c16="http://schemas.microsoft.com/office/drawing/2014/chart" uri="{C3380CC4-5D6E-409C-BE32-E72D297353CC}">
                <c16:uniqueId val="{00000198-B48C-41B7-92DB-AA74AF954F50}"/>
              </c:ext>
            </c:extLst>
          </c:dPt>
          <c:dPt>
            <c:idx val="139"/>
            <c:bubble3D val="0"/>
            <c:spPr>
              <a:ln>
                <a:noFill/>
              </a:ln>
            </c:spPr>
            <c:extLst xmlns:c16r2="http://schemas.microsoft.com/office/drawing/2015/06/chart">
              <c:ext xmlns:c16="http://schemas.microsoft.com/office/drawing/2014/chart" uri="{C3380CC4-5D6E-409C-BE32-E72D297353CC}">
                <c16:uniqueId val="{0000019A-B48C-41B7-92DB-AA74AF954F50}"/>
              </c:ext>
            </c:extLst>
          </c:dPt>
          <c:dPt>
            <c:idx val="140"/>
            <c:bubble3D val="0"/>
            <c:spPr>
              <a:ln>
                <a:noFill/>
              </a:ln>
            </c:spPr>
            <c:extLst xmlns:c16r2="http://schemas.microsoft.com/office/drawing/2015/06/chart">
              <c:ext xmlns:c16="http://schemas.microsoft.com/office/drawing/2014/chart" uri="{C3380CC4-5D6E-409C-BE32-E72D297353CC}">
                <c16:uniqueId val="{0000019C-B48C-41B7-92DB-AA74AF954F50}"/>
              </c:ext>
            </c:extLst>
          </c:dPt>
          <c:dPt>
            <c:idx val="141"/>
            <c:bubble3D val="0"/>
            <c:spPr>
              <a:ln>
                <a:noFill/>
              </a:ln>
            </c:spPr>
            <c:extLst xmlns:c16r2="http://schemas.microsoft.com/office/drawing/2015/06/chart">
              <c:ext xmlns:c16="http://schemas.microsoft.com/office/drawing/2014/chart" uri="{C3380CC4-5D6E-409C-BE32-E72D297353CC}">
                <c16:uniqueId val="{0000019E-B48C-41B7-92DB-AA74AF954F50}"/>
              </c:ext>
            </c:extLst>
          </c:dPt>
          <c:dPt>
            <c:idx val="142"/>
            <c:bubble3D val="0"/>
            <c:spPr>
              <a:ln>
                <a:noFill/>
              </a:ln>
            </c:spPr>
            <c:extLst xmlns:c16r2="http://schemas.microsoft.com/office/drawing/2015/06/chart">
              <c:ext xmlns:c16="http://schemas.microsoft.com/office/drawing/2014/chart" uri="{C3380CC4-5D6E-409C-BE32-E72D297353CC}">
                <c16:uniqueId val="{000001A0-B48C-41B7-92DB-AA74AF954F50}"/>
              </c:ext>
            </c:extLst>
          </c:dPt>
          <c:dPt>
            <c:idx val="143"/>
            <c:bubble3D val="0"/>
            <c:spPr>
              <a:ln>
                <a:noFill/>
              </a:ln>
            </c:spPr>
            <c:extLst xmlns:c16r2="http://schemas.microsoft.com/office/drawing/2015/06/chart">
              <c:ext xmlns:c16="http://schemas.microsoft.com/office/drawing/2014/chart" uri="{C3380CC4-5D6E-409C-BE32-E72D297353CC}">
                <c16:uniqueId val="{000001A2-B48C-41B7-92DB-AA74AF954F50}"/>
              </c:ext>
            </c:extLst>
          </c:dPt>
          <c:dPt>
            <c:idx val="144"/>
            <c:bubble3D val="0"/>
            <c:spPr>
              <a:ln>
                <a:noFill/>
              </a:ln>
            </c:spPr>
            <c:extLst xmlns:c16r2="http://schemas.microsoft.com/office/drawing/2015/06/chart">
              <c:ext xmlns:c16="http://schemas.microsoft.com/office/drawing/2014/chart" uri="{C3380CC4-5D6E-409C-BE32-E72D297353CC}">
                <c16:uniqueId val="{000001A4-B48C-41B7-92DB-AA74AF954F50}"/>
              </c:ext>
            </c:extLst>
          </c:dPt>
          <c:dPt>
            <c:idx val="145"/>
            <c:bubble3D val="0"/>
            <c:spPr>
              <a:ln>
                <a:noFill/>
              </a:ln>
            </c:spPr>
            <c:extLst xmlns:c16r2="http://schemas.microsoft.com/office/drawing/2015/06/chart">
              <c:ext xmlns:c16="http://schemas.microsoft.com/office/drawing/2014/chart" uri="{C3380CC4-5D6E-409C-BE32-E72D297353CC}">
                <c16:uniqueId val="{000001A6-B48C-41B7-92DB-AA74AF954F50}"/>
              </c:ext>
            </c:extLst>
          </c:dPt>
          <c:dPt>
            <c:idx val="146"/>
            <c:bubble3D val="0"/>
            <c:spPr>
              <a:ln>
                <a:noFill/>
              </a:ln>
            </c:spPr>
            <c:extLst xmlns:c16r2="http://schemas.microsoft.com/office/drawing/2015/06/chart">
              <c:ext xmlns:c16="http://schemas.microsoft.com/office/drawing/2014/chart" uri="{C3380CC4-5D6E-409C-BE32-E72D297353CC}">
                <c16:uniqueId val="{000001A8-B48C-41B7-92DB-AA74AF954F50}"/>
              </c:ext>
            </c:extLst>
          </c:dPt>
          <c:dPt>
            <c:idx val="147"/>
            <c:bubble3D val="0"/>
            <c:spPr>
              <a:ln>
                <a:noFill/>
              </a:ln>
            </c:spPr>
            <c:extLst xmlns:c16r2="http://schemas.microsoft.com/office/drawing/2015/06/chart">
              <c:ext xmlns:c16="http://schemas.microsoft.com/office/drawing/2014/chart" uri="{C3380CC4-5D6E-409C-BE32-E72D297353CC}">
                <c16:uniqueId val="{000001AA-B48C-41B7-92DB-AA74AF954F50}"/>
              </c:ext>
            </c:extLst>
          </c:dPt>
          <c:dPt>
            <c:idx val="148"/>
            <c:bubble3D val="0"/>
            <c:spPr>
              <a:ln>
                <a:noFill/>
              </a:ln>
            </c:spPr>
            <c:extLst xmlns:c16r2="http://schemas.microsoft.com/office/drawing/2015/06/chart">
              <c:ext xmlns:c16="http://schemas.microsoft.com/office/drawing/2014/chart" uri="{C3380CC4-5D6E-409C-BE32-E72D297353CC}">
                <c16:uniqueId val="{000001AC-B48C-41B7-92DB-AA74AF954F50}"/>
              </c:ext>
            </c:extLst>
          </c:dPt>
          <c:dPt>
            <c:idx val="149"/>
            <c:bubble3D val="0"/>
            <c:spPr>
              <a:ln>
                <a:noFill/>
              </a:ln>
            </c:spPr>
            <c:extLst xmlns:c16r2="http://schemas.microsoft.com/office/drawing/2015/06/chart">
              <c:ext xmlns:c16="http://schemas.microsoft.com/office/drawing/2014/chart" uri="{C3380CC4-5D6E-409C-BE32-E72D297353CC}">
                <c16:uniqueId val="{000001AE-B48C-41B7-92DB-AA74AF954F50}"/>
              </c:ext>
            </c:extLst>
          </c:dPt>
          <c:dPt>
            <c:idx val="150"/>
            <c:bubble3D val="0"/>
            <c:spPr>
              <a:ln>
                <a:noFill/>
              </a:ln>
            </c:spPr>
            <c:extLst xmlns:c16r2="http://schemas.microsoft.com/office/drawing/2015/06/chart">
              <c:ext xmlns:c16="http://schemas.microsoft.com/office/drawing/2014/chart" uri="{C3380CC4-5D6E-409C-BE32-E72D297353CC}">
                <c16:uniqueId val="{000001B0-B48C-41B7-92DB-AA74AF954F50}"/>
              </c:ext>
            </c:extLst>
          </c:dPt>
          <c:dPt>
            <c:idx val="151"/>
            <c:bubble3D val="0"/>
            <c:spPr>
              <a:ln>
                <a:noFill/>
              </a:ln>
            </c:spPr>
            <c:extLst xmlns:c16r2="http://schemas.microsoft.com/office/drawing/2015/06/chart">
              <c:ext xmlns:c16="http://schemas.microsoft.com/office/drawing/2014/chart" uri="{C3380CC4-5D6E-409C-BE32-E72D297353CC}">
                <c16:uniqueId val="{000001B2-B48C-41B7-92DB-AA74AF954F50}"/>
              </c:ext>
            </c:extLst>
          </c:dPt>
          <c:dPt>
            <c:idx val="152"/>
            <c:bubble3D val="0"/>
            <c:spPr>
              <a:ln>
                <a:noFill/>
              </a:ln>
            </c:spPr>
            <c:extLst xmlns:c16r2="http://schemas.microsoft.com/office/drawing/2015/06/chart">
              <c:ext xmlns:c16="http://schemas.microsoft.com/office/drawing/2014/chart" uri="{C3380CC4-5D6E-409C-BE32-E72D297353CC}">
                <c16:uniqueId val="{000001B4-B48C-41B7-92DB-AA74AF954F50}"/>
              </c:ext>
            </c:extLst>
          </c:dPt>
          <c:dPt>
            <c:idx val="153"/>
            <c:bubble3D val="0"/>
            <c:spPr>
              <a:ln>
                <a:noFill/>
              </a:ln>
            </c:spPr>
            <c:extLst xmlns:c16r2="http://schemas.microsoft.com/office/drawing/2015/06/chart">
              <c:ext xmlns:c16="http://schemas.microsoft.com/office/drawing/2014/chart" uri="{C3380CC4-5D6E-409C-BE32-E72D297353CC}">
                <c16:uniqueId val="{000001B6-B48C-41B7-92DB-AA74AF954F50}"/>
              </c:ext>
            </c:extLst>
          </c:dPt>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Лист1!$C$2:$C$693</c:f>
              <c:numCache>
                <c:formatCode>General</c:formatCode>
                <c:ptCount val="692"/>
                <c:pt idx="153">
                  <c:v>17</c:v>
                </c:pt>
                <c:pt idx="154">
                  <c:v>17</c:v>
                </c:pt>
                <c:pt idx="155">
                  <c:v>17</c:v>
                </c:pt>
                <c:pt idx="156">
                  <c:v>17</c:v>
                </c:pt>
                <c:pt idx="157">
                  <c:v>17</c:v>
                </c:pt>
                <c:pt idx="158">
                  <c:v>17</c:v>
                </c:pt>
                <c:pt idx="159">
                  <c:v>17</c:v>
                </c:pt>
                <c:pt idx="160">
                  <c:v>17</c:v>
                </c:pt>
                <c:pt idx="161">
                  <c:v>17</c:v>
                </c:pt>
                <c:pt idx="162">
                  <c:v>17</c:v>
                </c:pt>
                <c:pt idx="163">
                  <c:v>17</c:v>
                </c:pt>
                <c:pt idx="164">
                  <c:v>17</c:v>
                </c:pt>
                <c:pt idx="165">
                  <c:v>17</c:v>
                </c:pt>
                <c:pt idx="166">
                  <c:v>17</c:v>
                </c:pt>
                <c:pt idx="167">
                  <c:v>17</c:v>
                </c:pt>
                <c:pt idx="168">
                  <c:v>17</c:v>
                </c:pt>
                <c:pt idx="169">
                  <c:v>17</c:v>
                </c:pt>
                <c:pt idx="170">
                  <c:v>17</c:v>
                </c:pt>
                <c:pt idx="171">
                  <c:v>17</c:v>
                </c:pt>
                <c:pt idx="172">
                  <c:v>17</c:v>
                </c:pt>
                <c:pt idx="173">
                  <c:v>17</c:v>
                </c:pt>
                <c:pt idx="174">
                  <c:v>17</c:v>
                </c:pt>
                <c:pt idx="175">
                  <c:v>17</c:v>
                </c:pt>
                <c:pt idx="176">
                  <c:v>17</c:v>
                </c:pt>
                <c:pt idx="177">
                  <c:v>17</c:v>
                </c:pt>
                <c:pt idx="178">
                  <c:v>17</c:v>
                </c:pt>
                <c:pt idx="179">
                  <c:v>17</c:v>
                </c:pt>
                <c:pt idx="180">
                  <c:v>17</c:v>
                </c:pt>
                <c:pt idx="181">
                  <c:v>17</c:v>
                </c:pt>
                <c:pt idx="182">
                  <c:v>17</c:v>
                </c:pt>
                <c:pt idx="183">
                  <c:v>17</c:v>
                </c:pt>
                <c:pt idx="184">
                  <c:v>17</c:v>
                </c:pt>
                <c:pt idx="185">
                  <c:v>17</c:v>
                </c:pt>
                <c:pt idx="186">
                  <c:v>17</c:v>
                </c:pt>
                <c:pt idx="187">
                  <c:v>17</c:v>
                </c:pt>
                <c:pt idx="188">
                  <c:v>17</c:v>
                </c:pt>
                <c:pt idx="189">
                  <c:v>17</c:v>
                </c:pt>
                <c:pt idx="190">
                  <c:v>17</c:v>
                </c:pt>
                <c:pt idx="191">
                  <c:v>17</c:v>
                </c:pt>
                <c:pt idx="192">
                  <c:v>17</c:v>
                </c:pt>
                <c:pt idx="193">
                  <c:v>17</c:v>
                </c:pt>
                <c:pt idx="194">
                  <c:v>17</c:v>
                </c:pt>
                <c:pt idx="195">
                  <c:v>17</c:v>
                </c:pt>
                <c:pt idx="196">
                  <c:v>17</c:v>
                </c:pt>
                <c:pt idx="197">
                  <c:v>17</c:v>
                </c:pt>
                <c:pt idx="198">
                  <c:v>17</c:v>
                </c:pt>
                <c:pt idx="199">
                  <c:v>17</c:v>
                </c:pt>
                <c:pt idx="200">
                  <c:v>17</c:v>
                </c:pt>
                <c:pt idx="201">
                  <c:v>17</c:v>
                </c:pt>
                <c:pt idx="202">
                  <c:v>17</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17</c:v>
                </c:pt>
                <c:pt idx="216">
                  <c:v>17</c:v>
                </c:pt>
                <c:pt idx="217">
                  <c:v>17</c:v>
                </c:pt>
                <c:pt idx="218">
                  <c:v>17</c:v>
                </c:pt>
                <c:pt idx="219">
                  <c:v>17</c:v>
                </c:pt>
                <c:pt idx="220">
                  <c:v>17</c:v>
                </c:pt>
                <c:pt idx="221">
                  <c:v>17</c:v>
                </c:pt>
                <c:pt idx="222">
                  <c:v>17</c:v>
                </c:pt>
                <c:pt idx="223">
                  <c:v>17</c:v>
                </c:pt>
                <c:pt idx="224">
                  <c:v>17</c:v>
                </c:pt>
                <c:pt idx="225">
                  <c:v>17</c:v>
                </c:pt>
                <c:pt idx="226">
                  <c:v>17</c:v>
                </c:pt>
                <c:pt idx="227">
                  <c:v>17</c:v>
                </c:pt>
                <c:pt idx="228">
                  <c:v>17</c:v>
                </c:pt>
                <c:pt idx="229">
                  <c:v>17</c:v>
                </c:pt>
                <c:pt idx="230">
                  <c:v>17</c:v>
                </c:pt>
                <c:pt idx="231">
                  <c:v>17</c:v>
                </c:pt>
                <c:pt idx="232">
                  <c:v>17</c:v>
                </c:pt>
                <c:pt idx="233">
                  <c:v>17</c:v>
                </c:pt>
                <c:pt idx="234">
                  <c:v>17</c:v>
                </c:pt>
                <c:pt idx="235">
                  <c:v>17</c:v>
                </c:pt>
                <c:pt idx="236">
                  <c:v>17</c:v>
                </c:pt>
                <c:pt idx="237">
                  <c:v>17</c:v>
                </c:pt>
                <c:pt idx="238">
                  <c:v>17</c:v>
                </c:pt>
                <c:pt idx="239">
                  <c:v>17</c:v>
                </c:pt>
                <c:pt idx="240">
                  <c:v>17</c:v>
                </c:pt>
                <c:pt idx="241">
                  <c:v>17</c:v>
                </c:pt>
                <c:pt idx="242">
                  <c:v>17</c:v>
                </c:pt>
                <c:pt idx="243">
                  <c:v>17</c:v>
                </c:pt>
                <c:pt idx="244">
                  <c:v>17</c:v>
                </c:pt>
                <c:pt idx="245">
                  <c:v>17</c:v>
                </c:pt>
                <c:pt idx="246">
                  <c:v>17</c:v>
                </c:pt>
                <c:pt idx="247">
                  <c:v>15</c:v>
                </c:pt>
                <c:pt idx="248">
                  <c:v>15</c:v>
                </c:pt>
                <c:pt idx="249">
                  <c:v>15</c:v>
                </c:pt>
                <c:pt idx="250">
                  <c:v>15</c:v>
                </c:pt>
                <c:pt idx="251">
                  <c:v>15</c:v>
                </c:pt>
                <c:pt idx="252">
                  <c:v>15</c:v>
                </c:pt>
                <c:pt idx="253">
                  <c:v>15</c:v>
                </c:pt>
                <c:pt idx="254">
                  <c:v>15</c:v>
                </c:pt>
                <c:pt idx="255">
                  <c:v>15</c:v>
                </c:pt>
                <c:pt idx="256">
                  <c:v>15</c:v>
                </c:pt>
                <c:pt idx="257">
                  <c:v>15</c:v>
                </c:pt>
                <c:pt idx="258">
                  <c:v>15</c:v>
                </c:pt>
                <c:pt idx="259">
                  <c:v>15</c:v>
                </c:pt>
                <c:pt idx="260">
                  <c:v>15</c:v>
                </c:pt>
                <c:pt idx="261">
                  <c:v>15</c:v>
                </c:pt>
                <c:pt idx="262">
                  <c:v>15</c:v>
                </c:pt>
                <c:pt idx="263">
                  <c:v>15</c:v>
                </c:pt>
                <c:pt idx="264">
                  <c:v>15</c:v>
                </c:pt>
                <c:pt idx="265">
                  <c:v>15</c:v>
                </c:pt>
                <c:pt idx="266">
                  <c:v>15</c:v>
                </c:pt>
                <c:pt idx="267">
                  <c:v>15</c:v>
                </c:pt>
                <c:pt idx="268">
                  <c:v>15</c:v>
                </c:pt>
                <c:pt idx="269">
                  <c:v>15</c:v>
                </c:pt>
                <c:pt idx="270">
                  <c:v>15</c:v>
                </c:pt>
                <c:pt idx="271">
                  <c:v>15</c:v>
                </c:pt>
                <c:pt idx="272">
                  <c:v>15</c:v>
                </c:pt>
                <c:pt idx="273">
                  <c:v>15</c:v>
                </c:pt>
                <c:pt idx="274">
                  <c:v>15</c:v>
                </c:pt>
                <c:pt idx="275">
                  <c:v>15</c:v>
                </c:pt>
                <c:pt idx="276">
                  <c:v>15</c:v>
                </c:pt>
                <c:pt idx="277">
                  <c:v>15</c:v>
                </c:pt>
                <c:pt idx="278">
                  <c:v>15</c:v>
                </c:pt>
                <c:pt idx="279">
                  <c:v>15</c:v>
                </c:pt>
                <c:pt idx="280">
                  <c:v>15</c:v>
                </c:pt>
                <c:pt idx="281">
                  <c:v>15</c:v>
                </c:pt>
                <c:pt idx="282">
                  <c:v>15</c:v>
                </c:pt>
                <c:pt idx="283">
                  <c:v>15</c:v>
                </c:pt>
                <c:pt idx="284">
                  <c:v>15</c:v>
                </c:pt>
                <c:pt idx="285">
                  <c:v>15</c:v>
                </c:pt>
                <c:pt idx="286">
                  <c:v>15</c:v>
                </c:pt>
                <c:pt idx="287">
                  <c:v>15</c:v>
                </c:pt>
                <c:pt idx="288">
                  <c:v>15</c:v>
                </c:pt>
                <c:pt idx="289">
                  <c:v>15</c:v>
                </c:pt>
                <c:pt idx="290">
                  <c:v>15</c:v>
                </c:pt>
                <c:pt idx="291">
                  <c:v>15</c:v>
                </c:pt>
                <c:pt idx="292">
                  <c:v>15</c:v>
                </c:pt>
                <c:pt idx="293">
                  <c:v>15</c:v>
                </c:pt>
                <c:pt idx="294">
                  <c:v>15</c:v>
                </c:pt>
                <c:pt idx="295">
                  <c:v>15</c:v>
                </c:pt>
                <c:pt idx="296">
                  <c:v>15</c:v>
                </c:pt>
                <c:pt idx="297">
                  <c:v>15</c:v>
                </c:pt>
                <c:pt idx="298">
                  <c:v>15</c:v>
                </c:pt>
                <c:pt idx="299">
                  <c:v>15</c:v>
                </c:pt>
                <c:pt idx="300">
                  <c:v>15</c:v>
                </c:pt>
                <c:pt idx="301">
                  <c:v>15</c:v>
                </c:pt>
                <c:pt idx="302">
                  <c:v>15</c:v>
                </c:pt>
                <c:pt idx="303">
                  <c:v>15</c:v>
                </c:pt>
                <c:pt idx="304">
                  <c:v>15</c:v>
                </c:pt>
                <c:pt idx="305">
                  <c:v>15</c:v>
                </c:pt>
                <c:pt idx="306">
                  <c:v>15</c:v>
                </c:pt>
                <c:pt idx="307">
                  <c:v>15</c:v>
                </c:pt>
                <c:pt idx="308">
                  <c:v>15</c:v>
                </c:pt>
                <c:pt idx="309">
                  <c:v>15</c:v>
                </c:pt>
                <c:pt idx="310">
                  <c:v>15</c:v>
                </c:pt>
                <c:pt idx="311">
                  <c:v>15</c:v>
                </c:pt>
                <c:pt idx="312">
                  <c:v>15</c:v>
                </c:pt>
                <c:pt idx="313">
                  <c:v>15</c:v>
                </c:pt>
                <c:pt idx="314">
                  <c:v>13</c:v>
                </c:pt>
                <c:pt idx="315">
                  <c:v>13</c:v>
                </c:pt>
                <c:pt idx="316">
                  <c:v>13</c:v>
                </c:pt>
                <c:pt idx="317">
                  <c:v>13</c:v>
                </c:pt>
                <c:pt idx="318">
                  <c:v>13</c:v>
                </c:pt>
                <c:pt idx="319">
                  <c:v>13</c:v>
                </c:pt>
                <c:pt idx="320">
                  <c:v>13</c:v>
                </c:pt>
                <c:pt idx="321">
                  <c:v>13</c:v>
                </c:pt>
                <c:pt idx="322">
                  <c:v>13</c:v>
                </c:pt>
                <c:pt idx="323">
                  <c:v>13</c:v>
                </c:pt>
                <c:pt idx="324">
                  <c:v>13</c:v>
                </c:pt>
                <c:pt idx="325">
                  <c:v>13</c:v>
                </c:pt>
                <c:pt idx="326">
                  <c:v>13</c:v>
                </c:pt>
                <c:pt idx="327">
                  <c:v>13</c:v>
                </c:pt>
                <c:pt idx="328">
                  <c:v>13</c:v>
                </c:pt>
                <c:pt idx="329">
                  <c:v>13</c:v>
                </c:pt>
                <c:pt idx="330">
                  <c:v>13</c:v>
                </c:pt>
                <c:pt idx="331">
                  <c:v>13</c:v>
                </c:pt>
                <c:pt idx="332">
                  <c:v>13</c:v>
                </c:pt>
                <c:pt idx="333">
                  <c:v>13</c:v>
                </c:pt>
                <c:pt idx="334">
                  <c:v>13</c:v>
                </c:pt>
                <c:pt idx="335">
                  <c:v>13</c:v>
                </c:pt>
                <c:pt idx="336">
                  <c:v>13</c:v>
                </c:pt>
                <c:pt idx="337">
                  <c:v>13</c:v>
                </c:pt>
                <c:pt idx="338">
                  <c:v>13</c:v>
                </c:pt>
                <c:pt idx="339">
                  <c:v>13</c:v>
                </c:pt>
                <c:pt idx="340">
                  <c:v>13</c:v>
                </c:pt>
                <c:pt idx="341">
                  <c:v>13</c:v>
                </c:pt>
                <c:pt idx="342">
                  <c:v>13</c:v>
                </c:pt>
                <c:pt idx="343">
                  <c:v>13</c:v>
                </c:pt>
                <c:pt idx="344">
                  <c:v>13</c:v>
                </c:pt>
                <c:pt idx="345">
                  <c:v>13</c:v>
                </c:pt>
                <c:pt idx="346">
                  <c:v>13</c:v>
                </c:pt>
                <c:pt idx="347">
                  <c:v>13</c:v>
                </c:pt>
                <c:pt idx="348">
                  <c:v>13</c:v>
                </c:pt>
                <c:pt idx="349">
                  <c:v>13</c:v>
                </c:pt>
                <c:pt idx="350">
                  <c:v>13</c:v>
                </c:pt>
                <c:pt idx="351">
                  <c:v>13</c:v>
                </c:pt>
                <c:pt idx="352">
                  <c:v>13</c:v>
                </c:pt>
                <c:pt idx="353">
                  <c:v>13</c:v>
                </c:pt>
                <c:pt idx="354">
                  <c:v>13</c:v>
                </c:pt>
                <c:pt idx="355">
                  <c:v>13</c:v>
                </c:pt>
                <c:pt idx="356">
                  <c:v>13</c:v>
                </c:pt>
                <c:pt idx="357">
                  <c:v>13</c:v>
                </c:pt>
                <c:pt idx="358">
                  <c:v>13</c:v>
                </c:pt>
                <c:pt idx="359">
                  <c:v>13</c:v>
                </c:pt>
                <c:pt idx="360">
                  <c:v>13</c:v>
                </c:pt>
                <c:pt idx="361">
                  <c:v>13</c:v>
                </c:pt>
                <c:pt idx="362">
                  <c:v>13</c:v>
                </c:pt>
                <c:pt idx="363">
                  <c:v>13</c:v>
                </c:pt>
                <c:pt idx="364">
                  <c:v>13</c:v>
                </c:pt>
                <c:pt idx="365">
                  <c:v>13</c:v>
                </c:pt>
                <c:pt idx="366">
                  <c:v>13</c:v>
                </c:pt>
                <c:pt idx="367">
                  <c:v>13</c:v>
                </c:pt>
                <c:pt idx="368">
                  <c:v>13</c:v>
                </c:pt>
                <c:pt idx="369">
                  <c:v>13</c:v>
                </c:pt>
                <c:pt idx="370">
                  <c:v>13</c:v>
                </c:pt>
                <c:pt idx="371">
                  <c:v>13</c:v>
                </c:pt>
                <c:pt idx="372">
                  <c:v>13</c:v>
                </c:pt>
                <c:pt idx="373">
                  <c:v>13</c:v>
                </c:pt>
                <c:pt idx="374">
                  <c:v>13</c:v>
                </c:pt>
                <c:pt idx="375">
                  <c:v>13</c:v>
                </c:pt>
                <c:pt idx="376">
                  <c:v>13</c:v>
                </c:pt>
                <c:pt idx="377">
                  <c:v>13</c:v>
                </c:pt>
                <c:pt idx="378">
                  <c:v>13</c:v>
                </c:pt>
                <c:pt idx="379">
                  <c:v>13</c:v>
                </c:pt>
                <c:pt idx="380">
                  <c:v>13</c:v>
                </c:pt>
                <c:pt idx="381">
                  <c:v>13</c:v>
                </c:pt>
                <c:pt idx="382">
                  <c:v>13</c:v>
                </c:pt>
                <c:pt idx="383">
                  <c:v>13</c:v>
                </c:pt>
                <c:pt idx="384">
                  <c:v>13</c:v>
                </c:pt>
                <c:pt idx="385">
                  <c:v>13</c:v>
                </c:pt>
                <c:pt idx="386">
                  <c:v>13</c:v>
                </c:pt>
                <c:pt idx="387">
                  <c:v>13</c:v>
                </c:pt>
                <c:pt idx="388">
                  <c:v>13</c:v>
                </c:pt>
                <c:pt idx="389">
                  <c:v>13</c:v>
                </c:pt>
                <c:pt idx="390">
                  <c:v>13</c:v>
                </c:pt>
                <c:pt idx="391">
                  <c:v>13</c:v>
                </c:pt>
                <c:pt idx="392">
                  <c:v>13</c:v>
                </c:pt>
                <c:pt idx="393">
                  <c:v>13</c:v>
                </c:pt>
                <c:pt idx="394">
                  <c:v>13</c:v>
                </c:pt>
                <c:pt idx="395">
                  <c:v>13</c:v>
                </c:pt>
                <c:pt idx="396">
                  <c:v>13</c:v>
                </c:pt>
                <c:pt idx="397">
                  <c:v>13</c:v>
                </c:pt>
                <c:pt idx="398">
                  <c:v>12.5</c:v>
                </c:pt>
                <c:pt idx="399">
                  <c:v>12.5</c:v>
                </c:pt>
                <c:pt idx="400">
                  <c:v>12.5</c:v>
                </c:pt>
                <c:pt idx="401">
                  <c:v>12.5</c:v>
                </c:pt>
                <c:pt idx="402">
                  <c:v>12.5</c:v>
                </c:pt>
                <c:pt idx="403">
                  <c:v>12.5</c:v>
                </c:pt>
                <c:pt idx="404">
                  <c:v>12.5</c:v>
                </c:pt>
                <c:pt idx="405">
                  <c:v>12.5</c:v>
                </c:pt>
                <c:pt idx="406">
                  <c:v>12.5</c:v>
                </c:pt>
                <c:pt idx="407">
                  <c:v>12.5</c:v>
                </c:pt>
                <c:pt idx="408">
                  <c:v>12.5</c:v>
                </c:pt>
                <c:pt idx="409">
                  <c:v>12.5</c:v>
                </c:pt>
                <c:pt idx="410">
                  <c:v>12.5</c:v>
                </c:pt>
                <c:pt idx="411">
                  <c:v>12.5</c:v>
                </c:pt>
                <c:pt idx="412">
                  <c:v>12.5</c:v>
                </c:pt>
                <c:pt idx="413">
                  <c:v>12.5</c:v>
                </c:pt>
                <c:pt idx="414">
                  <c:v>12.5</c:v>
                </c:pt>
                <c:pt idx="415">
                  <c:v>12.5</c:v>
                </c:pt>
                <c:pt idx="416">
                  <c:v>12.5</c:v>
                </c:pt>
                <c:pt idx="417">
                  <c:v>12.5</c:v>
                </c:pt>
                <c:pt idx="418">
                  <c:v>12.5</c:v>
                </c:pt>
                <c:pt idx="419">
                  <c:v>12.5</c:v>
                </c:pt>
                <c:pt idx="420">
                  <c:v>12.5</c:v>
                </c:pt>
                <c:pt idx="421">
                  <c:v>12.5</c:v>
                </c:pt>
                <c:pt idx="422">
                  <c:v>12.5</c:v>
                </c:pt>
                <c:pt idx="423">
                  <c:v>12.5</c:v>
                </c:pt>
                <c:pt idx="424">
                  <c:v>12.5</c:v>
                </c:pt>
                <c:pt idx="425">
                  <c:v>12.5</c:v>
                </c:pt>
                <c:pt idx="426">
                  <c:v>12.5</c:v>
                </c:pt>
                <c:pt idx="427">
                  <c:v>12.5</c:v>
                </c:pt>
                <c:pt idx="428">
                  <c:v>12.5</c:v>
                </c:pt>
                <c:pt idx="429">
                  <c:v>12.5</c:v>
                </c:pt>
                <c:pt idx="430">
                  <c:v>12.5</c:v>
                </c:pt>
                <c:pt idx="431">
                  <c:v>12.5</c:v>
                </c:pt>
                <c:pt idx="432">
                  <c:v>12.5</c:v>
                </c:pt>
                <c:pt idx="433">
                  <c:v>12.5</c:v>
                </c:pt>
                <c:pt idx="434">
                  <c:v>12.5</c:v>
                </c:pt>
                <c:pt idx="435">
                  <c:v>12.5</c:v>
                </c:pt>
                <c:pt idx="436">
                  <c:v>12.5</c:v>
                </c:pt>
                <c:pt idx="437">
                  <c:v>12.5</c:v>
                </c:pt>
                <c:pt idx="438">
                  <c:v>12.5</c:v>
                </c:pt>
                <c:pt idx="439">
                  <c:v>12.5</c:v>
                </c:pt>
                <c:pt idx="440">
                  <c:v>12</c:v>
                </c:pt>
                <c:pt idx="441">
                  <c:v>12</c:v>
                </c:pt>
                <c:pt idx="442">
                  <c:v>12</c:v>
                </c:pt>
                <c:pt idx="443">
                  <c:v>12</c:v>
                </c:pt>
                <c:pt idx="444">
                  <c:v>12</c:v>
                </c:pt>
                <c:pt idx="445">
                  <c:v>12</c:v>
                </c:pt>
                <c:pt idx="446">
                  <c:v>12</c:v>
                </c:pt>
                <c:pt idx="447">
                  <c:v>12</c:v>
                </c:pt>
                <c:pt idx="448">
                  <c:v>12</c:v>
                </c:pt>
                <c:pt idx="449">
                  <c:v>12</c:v>
                </c:pt>
                <c:pt idx="450">
                  <c:v>12</c:v>
                </c:pt>
                <c:pt idx="451">
                  <c:v>12</c:v>
                </c:pt>
                <c:pt idx="452">
                  <c:v>12</c:v>
                </c:pt>
                <c:pt idx="453">
                  <c:v>12</c:v>
                </c:pt>
                <c:pt idx="454">
                  <c:v>12</c:v>
                </c:pt>
                <c:pt idx="455">
                  <c:v>12</c:v>
                </c:pt>
                <c:pt idx="456">
                  <c:v>12</c:v>
                </c:pt>
                <c:pt idx="457">
                  <c:v>12</c:v>
                </c:pt>
                <c:pt idx="458">
                  <c:v>12</c:v>
                </c:pt>
                <c:pt idx="459">
                  <c:v>12</c:v>
                </c:pt>
                <c:pt idx="460">
                  <c:v>12</c:v>
                </c:pt>
                <c:pt idx="461">
                  <c:v>12</c:v>
                </c:pt>
                <c:pt idx="462">
                  <c:v>12</c:v>
                </c:pt>
                <c:pt idx="463">
                  <c:v>12</c:v>
                </c:pt>
                <c:pt idx="464">
                  <c:v>12</c:v>
                </c:pt>
                <c:pt idx="465">
                  <c:v>12</c:v>
                </c:pt>
                <c:pt idx="466">
                  <c:v>12</c:v>
                </c:pt>
                <c:pt idx="467">
                  <c:v>12</c:v>
                </c:pt>
                <c:pt idx="468">
                  <c:v>12</c:v>
                </c:pt>
                <c:pt idx="469">
                  <c:v>12</c:v>
                </c:pt>
                <c:pt idx="470">
                  <c:v>12</c:v>
                </c:pt>
                <c:pt idx="471">
                  <c:v>12</c:v>
                </c:pt>
                <c:pt idx="472">
                  <c:v>12</c:v>
                </c:pt>
                <c:pt idx="473">
                  <c:v>12</c:v>
                </c:pt>
                <c:pt idx="474">
                  <c:v>12</c:v>
                </c:pt>
                <c:pt idx="475">
                  <c:v>12</c:v>
                </c:pt>
                <c:pt idx="476">
                  <c:v>12</c:v>
                </c:pt>
                <c:pt idx="477">
                  <c:v>12</c:v>
                </c:pt>
                <c:pt idx="478">
                  <c:v>12</c:v>
                </c:pt>
                <c:pt idx="479">
                  <c:v>12</c:v>
                </c:pt>
                <c:pt idx="480">
                  <c:v>12</c:v>
                </c:pt>
                <c:pt idx="481">
                  <c:v>12</c:v>
                </c:pt>
                <c:pt idx="482">
                  <c:v>12</c:v>
                </c:pt>
                <c:pt idx="483">
                  <c:v>12</c:v>
                </c:pt>
                <c:pt idx="484">
                  <c:v>12</c:v>
                </c:pt>
                <c:pt idx="485">
                  <c:v>12</c:v>
                </c:pt>
                <c:pt idx="486">
                  <c:v>12</c:v>
                </c:pt>
                <c:pt idx="487">
                  <c:v>12</c:v>
                </c:pt>
                <c:pt idx="488">
                  <c:v>12</c:v>
                </c:pt>
                <c:pt idx="489">
                  <c:v>12</c:v>
                </c:pt>
                <c:pt idx="490">
                  <c:v>12</c:v>
                </c:pt>
                <c:pt idx="491">
                  <c:v>12</c:v>
                </c:pt>
                <c:pt idx="492">
                  <c:v>12</c:v>
                </c:pt>
                <c:pt idx="493">
                  <c:v>12</c:v>
                </c:pt>
                <c:pt idx="494">
                  <c:v>12</c:v>
                </c:pt>
                <c:pt idx="495">
                  <c:v>12</c:v>
                </c:pt>
                <c:pt idx="496">
                  <c:v>12</c:v>
                </c:pt>
                <c:pt idx="497">
                  <c:v>12</c:v>
                </c:pt>
                <c:pt idx="498">
                  <c:v>12</c:v>
                </c:pt>
                <c:pt idx="499">
                  <c:v>12</c:v>
                </c:pt>
                <c:pt idx="500">
                  <c:v>12</c:v>
                </c:pt>
                <c:pt idx="501">
                  <c:v>12</c:v>
                </c:pt>
                <c:pt idx="502">
                  <c:v>12</c:v>
                </c:pt>
                <c:pt idx="503">
                  <c:v>12</c:v>
                </c:pt>
                <c:pt idx="504">
                  <c:v>12</c:v>
                </c:pt>
                <c:pt idx="505">
                  <c:v>12</c:v>
                </c:pt>
                <c:pt idx="506">
                  <c:v>12</c:v>
                </c:pt>
                <c:pt idx="507">
                  <c:v>12</c:v>
                </c:pt>
                <c:pt idx="508">
                  <c:v>12</c:v>
                </c:pt>
                <c:pt idx="509">
                  <c:v>12</c:v>
                </c:pt>
                <c:pt idx="510">
                  <c:v>12</c:v>
                </c:pt>
                <c:pt idx="511">
                  <c:v>12</c:v>
                </c:pt>
                <c:pt idx="512">
                  <c:v>12</c:v>
                </c:pt>
                <c:pt idx="513">
                  <c:v>12</c:v>
                </c:pt>
                <c:pt idx="514">
                  <c:v>12</c:v>
                </c:pt>
                <c:pt idx="515">
                  <c:v>12</c:v>
                </c:pt>
                <c:pt idx="516">
                  <c:v>12</c:v>
                </c:pt>
                <c:pt idx="517">
                  <c:v>12</c:v>
                </c:pt>
                <c:pt idx="518">
                  <c:v>12</c:v>
                </c:pt>
                <c:pt idx="519">
                  <c:v>12</c:v>
                </c:pt>
                <c:pt idx="520">
                  <c:v>12</c:v>
                </c:pt>
                <c:pt idx="521">
                  <c:v>12</c:v>
                </c:pt>
                <c:pt idx="522">
                  <c:v>12</c:v>
                </c:pt>
                <c:pt idx="523">
                  <c:v>12</c:v>
                </c:pt>
                <c:pt idx="524">
                  <c:v>12</c:v>
                </c:pt>
                <c:pt idx="525">
                  <c:v>12</c:v>
                </c:pt>
                <c:pt idx="526">
                  <c:v>12</c:v>
                </c:pt>
                <c:pt idx="527">
                  <c:v>12</c:v>
                </c:pt>
                <c:pt idx="528">
                  <c:v>12</c:v>
                </c:pt>
                <c:pt idx="529">
                  <c:v>12</c:v>
                </c:pt>
                <c:pt idx="530">
                  <c:v>12</c:v>
                </c:pt>
                <c:pt idx="531">
                  <c:v>12</c:v>
                </c:pt>
                <c:pt idx="532">
                  <c:v>12</c:v>
                </c:pt>
                <c:pt idx="533">
                  <c:v>12</c:v>
                </c:pt>
                <c:pt idx="534">
                  <c:v>12</c:v>
                </c:pt>
                <c:pt idx="535">
                  <c:v>12</c:v>
                </c:pt>
                <c:pt idx="536">
                  <c:v>12</c:v>
                </c:pt>
                <c:pt idx="537">
                  <c:v>12</c:v>
                </c:pt>
                <c:pt idx="538">
                  <c:v>11</c:v>
                </c:pt>
                <c:pt idx="539">
                  <c:v>11</c:v>
                </c:pt>
                <c:pt idx="540">
                  <c:v>11</c:v>
                </c:pt>
                <c:pt idx="541">
                  <c:v>11</c:v>
                </c:pt>
                <c:pt idx="542">
                  <c:v>11</c:v>
                </c:pt>
                <c:pt idx="543">
                  <c:v>11</c:v>
                </c:pt>
                <c:pt idx="544">
                  <c:v>11</c:v>
                </c:pt>
                <c:pt idx="545">
                  <c:v>11</c:v>
                </c:pt>
                <c:pt idx="546">
                  <c:v>11</c:v>
                </c:pt>
                <c:pt idx="547">
                  <c:v>11</c:v>
                </c:pt>
                <c:pt idx="548">
                  <c:v>11</c:v>
                </c:pt>
                <c:pt idx="549">
                  <c:v>11</c:v>
                </c:pt>
                <c:pt idx="550">
                  <c:v>11</c:v>
                </c:pt>
                <c:pt idx="551">
                  <c:v>11</c:v>
                </c:pt>
                <c:pt idx="552">
                  <c:v>11</c:v>
                </c:pt>
                <c:pt idx="553">
                  <c:v>11</c:v>
                </c:pt>
                <c:pt idx="554">
                  <c:v>11</c:v>
                </c:pt>
                <c:pt idx="555">
                  <c:v>11</c:v>
                </c:pt>
                <c:pt idx="556">
                  <c:v>11</c:v>
                </c:pt>
                <c:pt idx="557">
                  <c:v>11</c:v>
                </c:pt>
                <c:pt idx="558">
                  <c:v>11</c:v>
                </c:pt>
                <c:pt idx="559">
                  <c:v>11</c:v>
                </c:pt>
                <c:pt idx="560">
                  <c:v>11</c:v>
                </c:pt>
                <c:pt idx="561">
                  <c:v>11</c:v>
                </c:pt>
                <c:pt idx="562">
                  <c:v>11</c:v>
                </c:pt>
                <c:pt idx="563">
                  <c:v>11</c:v>
                </c:pt>
                <c:pt idx="564">
                  <c:v>11</c:v>
                </c:pt>
                <c:pt idx="565">
                  <c:v>11</c:v>
                </c:pt>
                <c:pt idx="566">
                  <c:v>11</c:v>
                </c:pt>
                <c:pt idx="567">
                  <c:v>11</c:v>
                </c:pt>
                <c:pt idx="568">
                  <c:v>11</c:v>
                </c:pt>
                <c:pt idx="569">
                  <c:v>11</c:v>
                </c:pt>
                <c:pt idx="570">
                  <c:v>11</c:v>
                </c:pt>
                <c:pt idx="571">
                  <c:v>11</c:v>
                </c:pt>
                <c:pt idx="572">
                  <c:v>11</c:v>
                </c:pt>
                <c:pt idx="573">
                  <c:v>11</c:v>
                </c:pt>
                <c:pt idx="574">
                  <c:v>11</c:v>
                </c:pt>
                <c:pt idx="575">
                  <c:v>11</c:v>
                </c:pt>
                <c:pt idx="576">
                  <c:v>11</c:v>
                </c:pt>
                <c:pt idx="577">
                  <c:v>11</c:v>
                </c:pt>
                <c:pt idx="578">
                  <c:v>11</c:v>
                </c:pt>
                <c:pt idx="579">
                  <c:v>11</c:v>
                </c:pt>
                <c:pt idx="580">
                  <c:v>11</c:v>
                </c:pt>
                <c:pt idx="581">
                  <c:v>11</c:v>
                </c:pt>
                <c:pt idx="582">
                  <c:v>11</c:v>
                </c:pt>
                <c:pt idx="583">
                  <c:v>11</c:v>
                </c:pt>
                <c:pt idx="584">
                  <c:v>11</c:v>
                </c:pt>
                <c:pt idx="585">
                  <c:v>11</c:v>
                </c:pt>
                <c:pt idx="586">
                  <c:v>11</c:v>
                </c:pt>
                <c:pt idx="587">
                  <c:v>11</c:v>
                </c:pt>
                <c:pt idx="588">
                  <c:v>11</c:v>
                </c:pt>
                <c:pt idx="589">
                  <c:v>11</c:v>
                </c:pt>
                <c:pt idx="590">
                  <c:v>11</c:v>
                </c:pt>
                <c:pt idx="591">
                  <c:v>11</c:v>
                </c:pt>
                <c:pt idx="592">
                  <c:v>11</c:v>
                </c:pt>
                <c:pt idx="593">
                  <c:v>11</c:v>
                </c:pt>
                <c:pt idx="594">
                  <c:v>11</c:v>
                </c:pt>
                <c:pt idx="595">
                  <c:v>11</c:v>
                </c:pt>
                <c:pt idx="596">
                  <c:v>11</c:v>
                </c:pt>
                <c:pt idx="597">
                  <c:v>11</c:v>
                </c:pt>
                <c:pt idx="598">
                  <c:v>11</c:v>
                </c:pt>
                <c:pt idx="599">
                  <c:v>11</c:v>
                </c:pt>
                <c:pt idx="600">
                  <c:v>11</c:v>
                </c:pt>
                <c:pt idx="601">
                  <c:v>11</c:v>
                </c:pt>
                <c:pt idx="602">
                  <c:v>11</c:v>
                </c:pt>
                <c:pt idx="603">
                  <c:v>11</c:v>
                </c:pt>
                <c:pt idx="604">
                  <c:v>11</c:v>
                </c:pt>
                <c:pt idx="605">
                  <c:v>11</c:v>
                </c:pt>
                <c:pt idx="606">
                  <c:v>11</c:v>
                </c:pt>
                <c:pt idx="607">
                  <c:v>11</c:v>
                </c:pt>
                <c:pt idx="608">
                  <c:v>11</c:v>
                </c:pt>
                <c:pt idx="609">
                  <c:v>11</c:v>
                </c:pt>
                <c:pt idx="610">
                  <c:v>11</c:v>
                </c:pt>
                <c:pt idx="611">
                  <c:v>11</c:v>
                </c:pt>
                <c:pt idx="612">
                  <c:v>11</c:v>
                </c:pt>
                <c:pt idx="613">
                  <c:v>11</c:v>
                </c:pt>
                <c:pt idx="614">
                  <c:v>11</c:v>
                </c:pt>
                <c:pt idx="615">
                  <c:v>11</c:v>
                </c:pt>
                <c:pt idx="616">
                  <c:v>11</c:v>
                </c:pt>
                <c:pt idx="617">
                  <c:v>11</c:v>
                </c:pt>
                <c:pt idx="618">
                  <c:v>11</c:v>
                </c:pt>
                <c:pt idx="619">
                  <c:v>11</c:v>
                </c:pt>
                <c:pt idx="620">
                  <c:v>11</c:v>
                </c:pt>
                <c:pt idx="621">
                  <c:v>11</c:v>
                </c:pt>
                <c:pt idx="622">
                  <c:v>11</c:v>
                </c:pt>
                <c:pt idx="623">
                  <c:v>11</c:v>
                </c:pt>
                <c:pt idx="624">
                  <c:v>11</c:v>
                </c:pt>
                <c:pt idx="625">
                  <c:v>11</c:v>
                </c:pt>
                <c:pt idx="626">
                  <c:v>11</c:v>
                </c:pt>
                <c:pt idx="627">
                  <c:v>11</c:v>
                </c:pt>
                <c:pt idx="628">
                  <c:v>11</c:v>
                </c:pt>
                <c:pt idx="629">
                  <c:v>11</c:v>
                </c:pt>
                <c:pt idx="630">
                  <c:v>11</c:v>
                </c:pt>
                <c:pt idx="631">
                  <c:v>11</c:v>
                </c:pt>
                <c:pt idx="632">
                  <c:v>11</c:v>
                </c:pt>
                <c:pt idx="633">
                  <c:v>11</c:v>
                </c:pt>
                <c:pt idx="634">
                  <c:v>11</c:v>
                </c:pt>
                <c:pt idx="635">
                  <c:v>11</c:v>
                </c:pt>
                <c:pt idx="636">
                  <c:v>11</c:v>
                </c:pt>
                <c:pt idx="637">
                  <c:v>11</c:v>
                </c:pt>
                <c:pt idx="638">
                  <c:v>11</c:v>
                </c:pt>
                <c:pt idx="639">
                  <c:v>11</c:v>
                </c:pt>
                <c:pt idx="640">
                  <c:v>11</c:v>
                </c:pt>
                <c:pt idx="641">
                  <c:v>11</c:v>
                </c:pt>
                <c:pt idx="642">
                  <c:v>11</c:v>
                </c:pt>
                <c:pt idx="643">
                  <c:v>10.5</c:v>
                </c:pt>
                <c:pt idx="644">
                  <c:v>10.5</c:v>
                </c:pt>
                <c:pt idx="645">
                  <c:v>10.5</c:v>
                </c:pt>
                <c:pt idx="646">
                  <c:v>10.5</c:v>
                </c:pt>
                <c:pt idx="647">
                  <c:v>10.5</c:v>
                </c:pt>
                <c:pt idx="648">
                  <c:v>10.5</c:v>
                </c:pt>
                <c:pt idx="649">
                  <c:v>10.5</c:v>
                </c:pt>
                <c:pt idx="650">
                  <c:v>10.5</c:v>
                </c:pt>
                <c:pt idx="651">
                  <c:v>10.5</c:v>
                </c:pt>
                <c:pt idx="652">
                  <c:v>10.5</c:v>
                </c:pt>
                <c:pt idx="653">
                  <c:v>10.5</c:v>
                </c:pt>
                <c:pt idx="654">
                  <c:v>10.5</c:v>
                </c:pt>
                <c:pt idx="655">
                  <c:v>10.5</c:v>
                </c:pt>
                <c:pt idx="656">
                  <c:v>10.5</c:v>
                </c:pt>
                <c:pt idx="657">
                  <c:v>10.5</c:v>
                </c:pt>
                <c:pt idx="658">
                  <c:v>10.5</c:v>
                </c:pt>
                <c:pt idx="659">
                  <c:v>10.5</c:v>
                </c:pt>
                <c:pt idx="660">
                  <c:v>10.5</c:v>
                </c:pt>
                <c:pt idx="661">
                  <c:v>10.5</c:v>
                </c:pt>
                <c:pt idx="662">
                  <c:v>10.5</c:v>
                </c:pt>
                <c:pt idx="663">
                  <c:v>10.5</c:v>
                </c:pt>
                <c:pt idx="664">
                  <c:v>10.5</c:v>
                </c:pt>
                <c:pt idx="665">
                  <c:v>10.5</c:v>
                </c:pt>
                <c:pt idx="666">
                  <c:v>10.5</c:v>
                </c:pt>
                <c:pt idx="667">
                  <c:v>10.5</c:v>
                </c:pt>
                <c:pt idx="668">
                  <c:v>10.5</c:v>
                </c:pt>
                <c:pt idx="669">
                  <c:v>10.5</c:v>
                </c:pt>
                <c:pt idx="670">
                  <c:v>10.5</c:v>
                </c:pt>
                <c:pt idx="671">
                  <c:v>10.5</c:v>
                </c:pt>
                <c:pt idx="672">
                  <c:v>10.5</c:v>
                </c:pt>
                <c:pt idx="673">
                  <c:v>10.5</c:v>
                </c:pt>
                <c:pt idx="674">
                  <c:v>10.5</c:v>
                </c:pt>
                <c:pt idx="675">
                  <c:v>10.5</c:v>
                </c:pt>
                <c:pt idx="676">
                  <c:v>10.5</c:v>
                </c:pt>
                <c:pt idx="677">
                  <c:v>10.5</c:v>
                </c:pt>
                <c:pt idx="678">
                  <c:v>10.5</c:v>
                </c:pt>
                <c:pt idx="679">
                  <c:v>10.5</c:v>
                </c:pt>
                <c:pt idx="680">
                  <c:v>10.5</c:v>
                </c:pt>
                <c:pt idx="681">
                  <c:v>10.5</c:v>
                </c:pt>
                <c:pt idx="682">
                  <c:v>10.5</c:v>
                </c:pt>
                <c:pt idx="683">
                  <c:v>10.5</c:v>
                </c:pt>
                <c:pt idx="684">
                  <c:v>10.5</c:v>
                </c:pt>
                <c:pt idx="685">
                  <c:v>10.5</c:v>
                </c:pt>
                <c:pt idx="686">
                  <c:v>10.5</c:v>
                </c:pt>
                <c:pt idx="687">
                  <c:v>10.5</c:v>
                </c:pt>
                <c:pt idx="688">
                  <c:v>10.5</c:v>
                </c:pt>
                <c:pt idx="689">
                  <c:v>10.5</c:v>
                </c:pt>
                <c:pt idx="690">
                  <c:v>10.5</c:v>
                </c:pt>
                <c:pt idx="691">
                  <c:v>10.5</c:v>
                </c:pt>
              </c:numCache>
            </c:numRef>
          </c:val>
          <c:smooth val="0"/>
          <c:extLst xmlns:c16r2="http://schemas.microsoft.com/office/drawing/2015/06/chart">
            <c:ext xmlns:c16="http://schemas.microsoft.com/office/drawing/2014/chart" uri="{C3380CC4-5D6E-409C-BE32-E72D297353CC}">
              <c16:uniqueId val="{000001B7-B48C-41B7-92DB-AA74AF954F50}"/>
            </c:ext>
          </c:extLst>
        </c:ser>
        <c:dLbls>
          <c:showLegendKey val="0"/>
          <c:showVal val="0"/>
          <c:showCatName val="0"/>
          <c:showSerName val="0"/>
          <c:showPercent val="0"/>
          <c:showBubbleSize val="0"/>
        </c:dLbls>
        <c:marker val="1"/>
        <c:smooth val="0"/>
        <c:axId val="212980736"/>
        <c:axId val="217499904"/>
      </c:lineChart>
      <c:dateAx>
        <c:axId val="212980736"/>
        <c:scaling>
          <c:orientation val="minMax"/>
        </c:scaling>
        <c:delete val="0"/>
        <c:axPos val="b"/>
        <c:numFmt formatCode="m/d/yyyy" sourceLinked="1"/>
        <c:majorTickMark val="out"/>
        <c:minorTickMark val="none"/>
        <c:tickLblPos val="nextTo"/>
        <c:txPr>
          <a:bodyPr/>
          <a:lstStyle/>
          <a:p>
            <a:pPr>
              <a:defRPr sz="900"/>
            </a:pPr>
            <a:endParaRPr lang="ru-RU"/>
          </a:p>
        </c:txPr>
        <c:crossAx val="217499904"/>
        <c:crosses val="autoZero"/>
        <c:auto val="1"/>
        <c:lblOffset val="100"/>
        <c:baseTimeUnit val="days"/>
        <c:majorUnit val="23"/>
        <c:majorTimeUnit val="days"/>
      </c:dateAx>
      <c:valAx>
        <c:axId val="217499904"/>
        <c:scaling>
          <c:orientation val="minMax"/>
          <c:min val="5"/>
        </c:scaling>
        <c:delete val="0"/>
        <c:axPos val="l"/>
        <c:majorGridlines>
          <c:spPr>
            <a:ln>
              <a:prstDash val="dash"/>
            </a:ln>
          </c:spPr>
        </c:majorGridlines>
        <c:title>
          <c:tx>
            <c:rich>
              <a:bodyPr rot="0" vert="wordArtVert"/>
              <a:lstStyle/>
              <a:p>
                <a:pPr>
                  <a:defRPr b="0"/>
                </a:pPr>
                <a:r>
                  <a:rPr lang="ru-RU" b="0"/>
                  <a:t>%</a:t>
                </a:r>
              </a:p>
            </c:rich>
          </c:tx>
          <c:layout>
            <c:manualLayout>
              <c:xMode val="edge"/>
              <c:yMode val="edge"/>
              <c:x val="0"/>
              <c:y val="0.36603000427562488"/>
            </c:manualLayout>
          </c:layout>
          <c:overlay val="0"/>
        </c:title>
        <c:numFmt formatCode="General" sourceLinked="1"/>
        <c:majorTickMark val="out"/>
        <c:minorTickMark val="none"/>
        <c:tickLblPos val="nextTo"/>
        <c:crossAx val="212980736"/>
        <c:crosses val="autoZero"/>
        <c:crossBetween val="between"/>
        <c:majorUnit val="1"/>
      </c:valAx>
    </c:plotArea>
    <c:plotVisOnly val="1"/>
    <c:dispBlanksAs val="zero"/>
    <c:showDLblsOverMax val="0"/>
  </c:chart>
  <c:spPr>
    <a:ln>
      <a:noFill/>
    </a:ln>
  </c:spPr>
  <c:txPr>
    <a:bodyPr/>
    <a:lstStyle/>
    <a:p>
      <a:pPr>
        <a:defRPr sz="10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8706920894147"/>
          <c:y val="0.19828429563100755"/>
          <c:w val="0.82764786119952105"/>
          <c:h val="0.59744281839299729"/>
        </c:manualLayout>
      </c:layout>
      <c:scatterChart>
        <c:scatterStyle val="smoothMarker"/>
        <c:varyColors val="0"/>
        <c:ser>
          <c:idx val="2"/>
          <c:order val="0"/>
          <c:tx>
            <c:strRef>
              <c:f>Лист1!$A$2</c:f>
              <c:strCache>
                <c:ptCount val="1"/>
                <c:pt idx="0">
                  <c:v>2016.31.12.</c:v>
                </c:pt>
              </c:strCache>
            </c:strRef>
          </c:tx>
          <c:marker>
            <c:symbol val="none"/>
          </c:marker>
          <c:xVal>
            <c:numRef>
              <c:f>Лист1!$K$3:$K$110</c:f>
              <c:numCache>
                <c:formatCode>General</c:formatCode>
                <c:ptCount val="108"/>
                <c:pt idx="0">
                  <c:v>2.7397260273972603E-3</c:v>
                </c:pt>
                <c:pt idx="1">
                  <c:v>5.4794520547945206E-3</c:v>
                </c:pt>
                <c:pt idx="2">
                  <c:v>1.9178082191780823E-2</c:v>
                </c:pt>
                <c:pt idx="3">
                  <c:v>2.4657534246575342E-2</c:v>
                </c:pt>
                <c:pt idx="4">
                  <c:v>3.8356164383561646E-2</c:v>
                </c:pt>
                <c:pt idx="5">
                  <c:v>4.3835616438356165E-2</c:v>
                </c:pt>
                <c:pt idx="6">
                  <c:v>5.7534246575342465E-2</c:v>
                </c:pt>
                <c:pt idx="7">
                  <c:v>0.12054794520547946</c:v>
                </c:pt>
                <c:pt idx="8">
                  <c:v>0.12054794520547946</c:v>
                </c:pt>
                <c:pt idx="9">
                  <c:v>0.19178082191780821</c:v>
                </c:pt>
                <c:pt idx="10">
                  <c:v>0.19726027397260273</c:v>
                </c:pt>
                <c:pt idx="11">
                  <c:v>0.22191780821917809</c:v>
                </c:pt>
                <c:pt idx="12">
                  <c:v>0.23561643835616439</c:v>
                </c:pt>
                <c:pt idx="13">
                  <c:v>0.29589041095890412</c:v>
                </c:pt>
                <c:pt idx="14">
                  <c:v>0.31232876712328766</c:v>
                </c:pt>
                <c:pt idx="15">
                  <c:v>0.38904109589041097</c:v>
                </c:pt>
                <c:pt idx="16">
                  <c:v>0.40821917808219177</c:v>
                </c:pt>
                <c:pt idx="17">
                  <c:v>0.46027397260273972</c:v>
                </c:pt>
                <c:pt idx="18">
                  <c:v>0.48493150684931507</c:v>
                </c:pt>
                <c:pt idx="19">
                  <c:v>0.50410958904109593</c:v>
                </c:pt>
                <c:pt idx="20">
                  <c:v>0.59726027397260273</c:v>
                </c:pt>
                <c:pt idx="21">
                  <c:v>0.61369863013698633</c:v>
                </c:pt>
                <c:pt idx="22">
                  <c:v>0.65753424657534243</c:v>
                </c:pt>
                <c:pt idx="23">
                  <c:v>0.66027397260273968</c:v>
                </c:pt>
                <c:pt idx="24">
                  <c:v>0.73972602739726023</c:v>
                </c:pt>
                <c:pt idx="25">
                  <c:v>0.75342465753424659</c:v>
                </c:pt>
                <c:pt idx="26">
                  <c:v>0.79178082191780819</c:v>
                </c:pt>
                <c:pt idx="27">
                  <c:v>0.83835616438356164</c:v>
                </c:pt>
                <c:pt idx="28">
                  <c:v>0.84931506849315064</c:v>
                </c:pt>
                <c:pt idx="29">
                  <c:v>0.92602739726027394</c:v>
                </c:pt>
                <c:pt idx="30">
                  <c:v>1.3424657534246576</c:v>
                </c:pt>
                <c:pt idx="31">
                  <c:v>1.3534246575342466</c:v>
                </c:pt>
                <c:pt idx="32">
                  <c:v>1.4219178082191781</c:v>
                </c:pt>
                <c:pt idx="33">
                  <c:v>1.5287671232876712</c:v>
                </c:pt>
                <c:pt idx="34">
                  <c:v>1.5780821917808219</c:v>
                </c:pt>
                <c:pt idx="35">
                  <c:v>1.6</c:v>
                </c:pt>
                <c:pt idx="36">
                  <c:v>1.6054794520547946</c:v>
                </c:pt>
                <c:pt idx="37">
                  <c:v>1.6082191780821917</c:v>
                </c:pt>
                <c:pt idx="38">
                  <c:v>1.6958904109589041</c:v>
                </c:pt>
                <c:pt idx="39">
                  <c:v>1.821917808219178</c:v>
                </c:pt>
                <c:pt idx="40">
                  <c:v>1.8465753424657534</c:v>
                </c:pt>
                <c:pt idx="41">
                  <c:v>2.1534246575342464</c:v>
                </c:pt>
                <c:pt idx="42">
                  <c:v>2.2493150684931509</c:v>
                </c:pt>
                <c:pt idx="43">
                  <c:v>2.3068493150684932</c:v>
                </c:pt>
                <c:pt idx="44">
                  <c:v>2.419178082191781</c:v>
                </c:pt>
                <c:pt idx="45">
                  <c:v>2.4465753424657533</c:v>
                </c:pt>
                <c:pt idx="46">
                  <c:v>2.6082191780821917</c:v>
                </c:pt>
                <c:pt idx="47">
                  <c:v>2.7150684931506848</c:v>
                </c:pt>
                <c:pt idx="48">
                  <c:v>2.7534246575342465</c:v>
                </c:pt>
                <c:pt idx="49">
                  <c:v>2.9863013698630136</c:v>
                </c:pt>
                <c:pt idx="50">
                  <c:v>3.0575342465753423</c:v>
                </c:pt>
                <c:pt idx="51">
                  <c:v>3.1643835616438358</c:v>
                </c:pt>
                <c:pt idx="52">
                  <c:v>3.3397260273972602</c:v>
                </c:pt>
                <c:pt idx="53">
                  <c:v>3.4136986301369863</c:v>
                </c:pt>
                <c:pt idx="54">
                  <c:v>3.4657534246575343</c:v>
                </c:pt>
                <c:pt idx="55">
                  <c:v>3.5972602739726027</c:v>
                </c:pt>
                <c:pt idx="56">
                  <c:v>3.6465753424657534</c:v>
                </c:pt>
                <c:pt idx="57">
                  <c:v>3.7452054794520548</c:v>
                </c:pt>
                <c:pt idx="58">
                  <c:v>3.8904109589041096</c:v>
                </c:pt>
                <c:pt idx="59">
                  <c:v>4.1424657534246574</c:v>
                </c:pt>
                <c:pt idx="60">
                  <c:v>4.2054794520547949</c:v>
                </c:pt>
                <c:pt idx="61">
                  <c:v>4.3205479452054796</c:v>
                </c:pt>
                <c:pt idx="62">
                  <c:v>4.3260273972602743</c:v>
                </c:pt>
                <c:pt idx="63">
                  <c:v>4.4520547945205475</c:v>
                </c:pt>
                <c:pt idx="64">
                  <c:v>4.5726027397260278</c:v>
                </c:pt>
                <c:pt idx="65">
                  <c:v>4.5780821917808217</c:v>
                </c:pt>
                <c:pt idx="66">
                  <c:v>4.8958904109589039</c:v>
                </c:pt>
                <c:pt idx="67">
                  <c:v>5.1369863013698627</c:v>
                </c:pt>
                <c:pt idx="68">
                  <c:v>5.1534246575342468</c:v>
                </c:pt>
                <c:pt idx="69">
                  <c:v>5.2630136986301368</c:v>
                </c:pt>
                <c:pt idx="70">
                  <c:v>5.3561643835616435</c:v>
                </c:pt>
                <c:pt idx="71">
                  <c:v>5.7095890410958905</c:v>
                </c:pt>
                <c:pt idx="72">
                  <c:v>5.8547945205479452</c:v>
                </c:pt>
                <c:pt idx="73">
                  <c:v>6.2246575342465755</c:v>
                </c:pt>
                <c:pt idx="74">
                  <c:v>6.2767123287671236</c:v>
                </c:pt>
                <c:pt idx="75">
                  <c:v>6.4547945205479449</c:v>
                </c:pt>
                <c:pt idx="76">
                  <c:v>6.4547945205479449</c:v>
                </c:pt>
                <c:pt idx="77">
                  <c:v>6.5616438356164384</c:v>
                </c:pt>
                <c:pt idx="78">
                  <c:v>6.9616438356164387</c:v>
                </c:pt>
                <c:pt idx="79">
                  <c:v>7.2767123287671236</c:v>
                </c:pt>
                <c:pt idx="80">
                  <c:v>7.3698630136986303</c:v>
                </c:pt>
                <c:pt idx="81">
                  <c:v>7.484931506849315</c:v>
                </c:pt>
                <c:pt idx="82">
                  <c:v>7.6082191780821917</c:v>
                </c:pt>
                <c:pt idx="83">
                  <c:v>8.2821917808219183</c:v>
                </c:pt>
                <c:pt idx="84">
                  <c:v>8.4164383561643827</c:v>
                </c:pt>
                <c:pt idx="85">
                  <c:v>8.4958904109589035</c:v>
                </c:pt>
                <c:pt idx="86">
                  <c:v>8.6273972602739732</c:v>
                </c:pt>
                <c:pt idx="87">
                  <c:v>8.7452054794520553</c:v>
                </c:pt>
                <c:pt idx="88">
                  <c:v>8.7671232876712324</c:v>
                </c:pt>
                <c:pt idx="89">
                  <c:v>9.4904109589041088</c:v>
                </c:pt>
                <c:pt idx="90">
                  <c:v>9.75068493150685</c:v>
                </c:pt>
                <c:pt idx="91">
                  <c:v>10.09041095890411</c:v>
                </c:pt>
                <c:pt idx="92">
                  <c:v>10.317808219178081</c:v>
                </c:pt>
                <c:pt idx="93">
                  <c:v>10.558904109589042</c:v>
                </c:pt>
                <c:pt idx="94">
                  <c:v>10.643835616438356</c:v>
                </c:pt>
                <c:pt idx="95">
                  <c:v>10.657534246575343</c:v>
                </c:pt>
                <c:pt idx="96">
                  <c:v>11.134246575342466</c:v>
                </c:pt>
                <c:pt idx="97">
                  <c:v>11.550684931506849</c:v>
                </c:pt>
                <c:pt idx="98">
                  <c:v>11.769863013698631</c:v>
                </c:pt>
                <c:pt idx="99">
                  <c:v>12.435616438356165</c:v>
                </c:pt>
                <c:pt idx="100">
                  <c:v>12.904109589041095</c:v>
                </c:pt>
                <c:pt idx="101">
                  <c:v>15.095890410958905</c:v>
                </c:pt>
                <c:pt idx="102">
                  <c:v>17.117808219178084</c:v>
                </c:pt>
                <c:pt idx="103">
                  <c:v>17.82191780821918</c:v>
                </c:pt>
                <c:pt idx="104">
                  <c:v>21.660273972602738</c:v>
                </c:pt>
                <c:pt idx="105">
                  <c:v>22.24931506849315</c:v>
                </c:pt>
                <c:pt idx="106">
                  <c:v>22.827397260273973</c:v>
                </c:pt>
                <c:pt idx="107">
                  <c:v>27.347945205479451</c:v>
                </c:pt>
              </c:numCache>
            </c:numRef>
          </c:xVal>
          <c:yVal>
            <c:numRef>
              <c:f>Лист1!$E$3:$E$110</c:f>
              <c:numCache>
                <c:formatCode>#\ ##0.0000</c:formatCode>
                <c:ptCount val="108"/>
                <c:pt idx="0">
                  <c:v>12.0761</c:v>
                </c:pt>
                <c:pt idx="1">
                  <c:v>12.0717</c:v>
                </c:pt>
                <c:pt idx="2">
                  <c:v>12.0503</c:v>
                </c:pt>
                <c:pt idx="3">
                  <c:v>12.0418</c:v>
                </c:pt>
                <c:pt idx="4">
                  <c:v>12.020799999999999</c:v>
                </c:pt>
                <c:pt idx="5">
                  <c:v>12.012499999999999</c:v>
                </c:pt>
                <c:pt idx="6">
                  <c:v>11.9918</c:v>
                </c:pt>
                <c:pt idx="7">
                  <c:v>11.9003</c:v>
                </c:pt>
                <c:pt idx="8">
                  <c:v>11.9003</c:v>
                </c:pt>
                <c:pt idx="9">
                  <c:v>11.803900000000001</c:v>
                </c:pt>
                <c:pt idx="10">
                  <c:v>11.7967</c:v>
                </c:pt>
                <c:pt idx="11">
                  <c:v>11.7653</c:v>
                </c:pt>
                <c:pt idx="12">
                  <c:v>11.748200000000001</c:v>
                </c:pt>
                <c:pt idx="13">
                  <c:v>11.695</c:v>
                </c:pt>
                <c:pt idx="14">
                  <c:v>11.690899999999999</c:v>
                </c:pt>
                <c:pt idx="15">
                  <c:v>11.680999999999999</c:v>
                </c:pt>
                <c:pt idx="16">
                  <c:v>11.6808</c:v>
                </c:pt>
                <c:pt idx="17">
                  <c:v>11.6843</c:v>
                </c:pt>
                <c:pt idx="18">
                  <c:v>11.687799999999999</c:v>
                </c:pt>
                <c:pt idx="19">
                  <c:v>11.6913</c:v>
                </c:pt>
                <c:pt idx="20">
                  <c:v>11.717000000000001</c:v>
                </c:pt>
                <c:pt idx="21">
                  <c:v>11.722899999999999</c:v>
                </c:pt>
                <c:pt idx="22">
                  <c:v>11.7399</c:v>
                </c:pt>
                <c:pt idx="23">
                  <c:v>11.741</c:v>
                </c:pt>
                <c:pt idx="24">
                  <c:v>11.776300000000001</c:v>
                </c:pt>
                <c:pt idx="25">
                  <c:v>11.7829</c:v>
                </c:pt>
                <c:pt idx="26">
                  <c:v>11.801500000000001</c:v>
                </c:pt>
                <c:pt idx="27">
                  <c:v>11.8247</c:v>
                </c:pt>
                <c:pt idx="28">
                  <c:v>11.8301</c:v>
                </c:pt>
                <c:pt idx="29">
                  <c:v>11.867900000000001</c:v>
                </c:pt>
                <c:pt idx="30">
                  <c:v>11.808</c:v>
                </c:pt>
                <c:pt idx="31">
                  <c:v>11.802199999999999</c:v>
                </c:pt>
                <c:pt idx="32">
                  <c:v>11.7662</c:v>
                </c:pt>
                <c:pt idx="33">
                  <c:v>11.7103</c:v>
                </c:pt>
                <c:pt idx="34">
                  <c:v>11.684699999999999</c:v>
                </c:pt>
                <c:pt idx="35">
                  <c:v>11.673299999999999</c:v>
                </c:pt>
                <c:pt idx="36">
                  <c:v>11.670500000000001</c:v>
                </c:pt>
                <c:pt idx="37">
                  <c:v>11.6691</c:v>
                </c:pt>
                <c:pt idx="38">
                  <c:v>11.623900000000001</c:v>
                </c:pt>
                <c:pt idx="39">
                  <c:v>11.5595</c:v>
                </c:pt>
                <c:pt idx="40">
                  <c:v>11.547000000000001</c:v>
                </c:pt>
                <c:pt idx="41">
                  <c:v>11.3933</c:v>
                </c:pt>
                <c:pt idx="42">
                  <c:v>11.3461</c:v>
                </c:pt>
                <c:pt idx="43">
                  <c:v>11.3179</c:v>
                </c:pt>
                <c:pt idx="44">
                  <c:v>11.263400000000001</c:v>
                </c:pt>
                <c:pt idx="45">
                  <c:v>11.2501</c:v>
                </c:pt>
                <c:pt idx="46">
                  <c:v>11.172700000000001</c:v>
                </c:pt>
                <c:pt idx="47">
                  <c:v>11.122199999999999</c:v>
                </c:pt>
                <c:pt idx="48">
                  <c:v>11.104100000000001</c:v>
                </c:pt>
                <c:pt idx="49">
                  <c:v>10.996</c:v>
                </c:pt>
                <c:pt idx="50">
                  <c:v>10.9633</c:v>
                </c:pt>
                <c:pt idx="51">
                  <c:v>10.9148</c:v>
                </c:pt>
                <c:pt idx="52">
                  <c:v>10.8361</c:v>
                </c:pt>
                <c:pt idx="53">
                  <c:v>10.8033</c:v>
                </c:pt>
                <c:pt idx="54">
                  <c:v>10.7804</c:v>
                </c:pt>
                <c:pt idx="55">
                  <c:v>10.722899999999999</c:v>
                </c:pt>
                <c:pt idx="56">
                  <c:v>10.701599999999999</c:v>
                </c:pt>
                <c:pt idx="57">
                  <c:v>10.6592</c:v>
                </c:pt>
                <c:pt idx="58">
                  <c:v>10.5975</c:v>
                </c:pt>
                <c:pt idx="59">
                  <c:v>10.4924</c:v>
                </c:pt>
                <c:pt idx="60">
                  <c:v>10.4666</c:v>
                </c:pt>
                <c:pt idx="61">
                  <c:v>10.4198</c:v>
                </c:pt>
                <c:pt idx="62">
                  <c:v>10.4176</c:v>
                </c:pt>
                <c:pt idx="63">
                  <c:v>10.367100000000001</c:v>
                </c:pt>
                <c:pt idx="64">
                  <c:v>10.3194</c:v>
                </c:pt>
                <c:pt idx="65">
                  <c:v>10.3172</c:v>
                </c:pt>
                <c:pt idx="66">
                  <c:v>10.1944</c:v>
                </c:pt>
                <c:pt idx="67">
                  <c:v>10.103999999999999</c:v>
                </c:pt>
                <c:pt idx="68">
                  <c:v>10.097899999999999</c:v>
                </c:pt>
                <c:pt idx="69">
                  <c:v>10.057700000000001</c:v>
                </c:pt>
                <c:pt idx="70">
                  <c:v>10.023999999999999</c:v>
                </c:pt>
                <c:pt idx="71">
                  <c:v>9.8991000000000007</c:v>
                </c:pt>
                <c:pt idx="72">
                  <c:v>9.8492999999999995</c:v>
                </c:pt>
                <c:pt idx="73">
                  <c:v>9.7264999999999997</c:v>
                </c:pt>
                <c:pt idx="74">
                  <c:v>9.7096999999999998</c:v>
                </c:pt>
                <c:pt idx="75">
                  <c:v>9.6530000000000005</c:v>
                </c:pt>
                <c:pt idx="76">
                  <c:v>9.6530000000000005</c:v>
                </c:pt>
                <c:pt idx="77">
                  <c:v>9.6196000000000002</c:v>
                </c:pt>
                <c:pt idx="78">
                  <c:v>9.4987999999999992</c:v>
                </c:pt>
                <c:pt idx="79">
                  <c:v>9.4084000000000003</c:v>
                </c:pt>
                <c:pt idx="80">
                  <c:v>9.3824000000000005</c:v>
                </c:pt>
                <c:pt idx="81">
                  <c:v>9.3508999999999993</c:v>
                </c:pt>
                <c:pt idx="82">
                  <c:v>9.3177000000000003</c:v>
                </c:pt>
                <c:pt idx="83">
                  <c:v>9.1476000000000006</c:v>
                </c:pt>
                <c:pt idx="84">
                  <c:v>9.1158999999999999</c:v>
                </c:pt>
                <c:pt idx="85">
                  <c:v>9.0975999999999999</c:v>
                </c:pt>
                <c:pt idx="86">
                  <c:v>9.0678000000000001</c:v>
                </c:pt>
                <c:pt idx="87">
                  <c:v>9.0417000000000005</c:v>
                </c:pt>
                <c:pt idx="88">
                  <c:v>9.0368999999999993</c:v>
                </c:pt>
                <c:pt idx="89">
                  <c:v>8.89</c:v>
                </c:pt>
                <c:pt idx="90">
                  <c:v>8.8425999999999991</c:v>
                </c:pt>
                <c:pt idx="91">
                  <c:v>8.7848000000000006</c:v>
                </c:pt>
                <c:pt idx="92">
                  <c:v>8.7489000000000008</c:v>
                </c:pt>
                <c:pt idx="93">
                  <c:v>8.7131000000000007</c:v>
                </c:pt>
                <c:pt idx="94">
                  <c:v>8.7011000000000003</c:v>
                </c:pt>
                <c:pt idx="95">
                  <c:v>8.6991999999999994</c:v>
                </c:pt>
                <c:pt idx="96">
                  <c:v>8.6376000000000008</c:v>
                </c:pt>
                <c:pt idx="97">
                  <c:v>8.5915999999999997</c:v>
                </c:pt>
                <c:pt idx="98">
                  <c:v>8.5702999999999996</c:v>
                </c:pt>
                <c:pt idx="99">
                  <c:v>8.5177999999999994</c:v>
                </c:pt>
                <c:pt idx="100">
                  <c:v>8.4920000000000009</c:v>
                </c:pt>
                <c:pt idx="101">
                  <c:v>8.4931999999999999</c:v>
                </c:pt>
                <c:pt idx="102">
                  <c:v>8.6722000000000001</c:v>
                </c:pt>
                <c:pt idx="103">
                  <c:v>8.7745999999999995</c:v>
                </c:pt>
                <c:pt idx="104">
                  <c:v>9.6973000000000003</c:v>
                </c:pt>
                <c:pt idx="105">
                  <c:v>9.8933999999999997</c:v>
                </c:pt>
                <c:pt idx="106">
                  <c:v>10.0999</c:v>
                </c:pt>
                <c:pt idx="107">
                  <c:v>12.196400000000001</c:v>
                </c:pt>
              </c:numCache>
            </c:numRef>
          </c:yVal>
          <c:smooth val="1"/>
          <c:extLst xmlns:c16r2="http://schemas.microsoft.com/office/drawing/2015/06/chart">
            <c:ext xmlns:c16="http://schemas.microsoft.com/office/drawing/2014/chart" uri="{C3380CC4-5D6E-409C-BE32-E72D297353CC}">
              <c16:uniqueId val="{00000000-D83D-46D9-B52B-7B590EAF797E}"/>
            </c:ext>
          </c:extLst>
        </c:ser>
        <c:ser>
          <c:idx val="3"/>
          <c:order val="1"/>
          <c:tx>
            <c:strRef>
              <c:f>'05.06.2017'!$A$1</c:f>
              <c:strCache>
                <c:ptCount val="1"/>
                <c:pt idx="0">
                  <c:v>2017.05.06.</c:v>
                </c:pt>
              </c:strCache>
            </c:strRef>
          </c:tx>
          <c:spPr>
            <a:ln w="34925"/>
          </c:spPr>
          <c:marker>
            <c:symbol val="none"/>
          </c:marker>
          <c:xVal>
            <c:numRef>
              <c:f>'05.06.2017'!$K$2:$K$108</c:f>
              <c:numCache>
                <c:formatCode>General</c:formatCode>
                <c:ptCount val="107"/>
                <c:pt idx="0">
                  <c:v>2.7397260273972603E-3</c:v>
                </c:pt>
                <c:pt idx="1">
                  <c:v>5.4794520547945206E-3</c:v>
                </c:pt>
                <c:pt idx="2">
                  <c:v>5.4794520547945206E-3</c:v>
                </c:pt>
                <c:pt idx="3">
                  <c:v>8.21917808219178E-3</c:v>
                </c:pt>
                <c:pt idx="4">
                  <c:v>1.0958904109589041E-2</c:v>
                </c:pt>
                <c:pt idx="5">
                  <c:v>2.4657534246575342E-2</c:v>
                </c:pt>
                <c:pt idx="6">
                  <c:v>4.3835616438356165E-2</c:v>
                </c:pt>
                <c:pt idx="7">
                  <c:v>4.6575342465753428E-2</c:v>
                </c:pt>
                <c:pt idx="8">
                  <c:v>4.9315068493150684E-2</c:v>
                </c:pt>
                <c:pt idx="9">
                  <c:v>6.3013698630136991E-2</c:v>
                </c:pt>
                <c:pt idx="10">
                  <c:v>6.8493150684931503E-2</c:v>
                </c:pt>
                <c:pt idx="11">
                  <c:v>9.0410958904109592E-2</c:v>
                </c:pt>
                <c:pt idx="12">
                  <c:v>0.12602739726027398</c:v>
                </c:pt>
                <c:pt idx="13">
                  <c:v>0.14520547945205478</c:v>
                </c:pt>
                <c:pt idx="14">
                  <c:v>0.18356164383561643</c:v>
                </c:pt>
                <c:pt idx="15">
                  <c:v>0.2</c:v>
                </c:pt>
                <c:pt idx="16">
                  <c:v>0.20273972602739726</c:v>
                </c:pt>
                <c:pt idx="17">
                  <c:v>0.22191780821917809</c:v>
                </c:pt>
                <c:pt idx="18">
                  <c:v>0.24109589041095891</c:v>
                </c:pt>
                <c:pt idx="19">
                  <c:v>0.24657534246575341</c:v>
                </c:pt>
                <c:pt idx="20">
                  <c:v>0.31780821917808222</c:v>
                </c:pt>
                <c:pt idx="21">
                  <c:v>0.32602739726027397</c:v>
                </c:pt>
                <c:pt idx="22">
                  <c:v>0.33698630136986302</c:v>
                </c:pt>
                <c:pt idx="23">
                  <c:v>0.37808219178082192</c:v>
                </c:pt>
                <c:pt idx="24">
                  <c:v>0.39452054794520547</c:v>
                </c:pt>
                <c:pt idx="25">
                  <c:v>0.42465753424657532</c:v>
                </c:pt>
                <c:pt idx="26">
                  <c:v>0.43287671232876712</c:v>
                </c:pt>
                <c:pt idx="27">
                  <c:v>0.47123287671232877</c:v>
                </c:pt>
                <c:pt idx="28">
                  <c:v>0.50958904109589043</c:v>
                </c:pt>
                <c:pt idx="29">
                  <c:v>0.58630136986301373</c:v>
                </c:pt>
                <c:pt idx="30">
                  <c:v>0.68219178082191778</c:v>
                </c:pt>
                <c:pt idx="31">
                  <c:v>0.75890410958904109</c:v>
                </c:pt>
                <c:pt idx="32">
                  <c:v>0.83561643835616439</c:v>
                </c:pt>
                <c:pt idx="33">
                  <c:v>0.92876712328767119</c:v>
                </c:pt>
                <c:pt idx="34">
                  <c:v>0.93150684931506844</c:v>
                </c:pt>
                <c:pt idx="35">
                  <c:v>0.9397260273972603</c:v>
                </c:pt>
                <c:pt idx="36">
                  <c:v>1.0082191780821919</c:v>
                </c:pt>
                <c:pt idx="37">
                  <c:v>1.1150684931506849</c:v>
                </c:pt>
                <c:pt idx="38">
                  <c:v>1.1643835616438356</c:v>
                </c:pt>
                <c:pt idx="39">
                  <c:v>1.1863013698630136</c:v>
                </c:pt>
                <c:pt idx="40">
                  <c:v>1.1917808219178083</c:v>
                </c:pt>
                <c:pt idx="41">
                  <c:v>1.1945205479452055</c:v>
                </c:pt>
                <c:pt idx="42">
                  <c:v>1.2821917808219179</c:v>
                </c:pt>
                <c:pt idx="43">
                  <c:v>1.4082191780821918</c:v>
                </c:pt>
                <c:pt idx="44">
                  <c:v>1.4328767123287671</c:v>
                </c:pt>
                <c:pt idx="45">
                  <c:v>1.7397260273972603</c:v>
                </c:pt>
                <c:pt idx="46">
                  <c:v>1.8356164383561644</c:v>
                </c:pt>
                <c:pt idx="47">
                  <c:v>1.8602739726027397</c:v>
                </c:pt>
                <c:pt idx="48">
                  <c:v>1.893150684931507</c:v>
                </c:pt>
                <c:pt idx="49">
                  <c:v>2.0054794520547947</c:v>
                </c:pt>
                <c:pt idx="50">
                  <c:v>2.032876712328767</c:v>
                </c:pt>
                <c:pt idx="51">
                  <c:v>2.1945205479452055</c:v>
                </c:pt>
                <c:pt idx="52">
                  <c:v>2.3013698630136985</c:v>
                </c:pt>
                <c:pt idx="53">
                  <c:v>2.3397260273972602</c:v>
                </c:pt>
                <c:pt idx="54">
                  <c:v>2.5726027397260274</c:v>
                </c:pt>
                <c:pt idx="55">
                  <c:v>2.5780821917808221</c:v>
                </c:pt>
                <c:pt idx="56">
                  <c:v>2.6438356164383561</c:v>
                </c:pt>
                <c:pt idx="57">
                  <c:v>2.7506849315068491</c:v>
                </c:pt>
                <c:pt idx="58">
                  <c:v>2.8082191780821919</c:v>
                </c:pt>
                <c:pt idx="59">
                  <c:v>2.9260273972602739</c:v>
                </c:pt>
                <c:pt idx="60">
                  <c:v>3</c:v>
                </c:pt>
                <c:pt idx="61">
                  <c:v>3.0520547945205481</c:v>
                </c:pt>
                <c:pt idx="62">
                  <c:v>3.1835616438356165</c:v>
                </c:pt>
                <c:pt idx="63">
                  <c:v>3.2328767123287672</c:v>
                </c:pt>
                <c:pt idx="64">
                  <c:v>3.3315068493150686</c:v>
                </c:pt>
                <c:pt idx="65">
                  <c:v>3.4767123287671233</c:v>
                </c:pt>
                <c:pt idx="66">
                  <c:v>3.7287671232876711</c:v>
                </c:pt>
                <c:pt idx="67">
                  <c:v>3.7753424657534245</c:v>
                </c:pt>
                <c:pt idx="68">
                  <c:v>3.7917808219178082</c:v>
                </c:pt>
                <c:pt idx="69">
                  <c:v>3.9068493150684933</c:v>
                </c:pt>
                <c:pt idx="70">
                  <c:v>3.9123287671232876</c:v>
                </c:pt>
                <c:pt idx="71">
                  <c:v>4.0383561643835613</c:v>
                </c:pt>
                <c:pt idx="72">
                  <c:v>4.1589041095890407</c:v>
                </c:pt>
                <c:pt idx="73">
                  <c:v>4.1643835616438354</c:v>
                </c:pt>
                <c:pt idx="74">
                  <c:v>4.4821917808219176</c:v>
                </c:pt>
                <c:pt idx="75">
                  <c:v>4.5698630136986305</c:v>
                </c:pt>
                <c:pt idx="76">
                  <c:v>4.7232876712328764</c:v>
                </c:pt>
                <c:pt idx="77">
                  <c:v>4.7397260273972606</c:v>
                </c:pt>
                <c:pt idx="78">
                  <c:v>4.8493150684931505</c:v>
                </c:pt>
                <c:pt idx="79">
                  <c:v>4.9424657534246572</c:v>
                </c:pt>
                <c:pt idx="80">
                  <c:v>5.2958904109589042</c:v>
                </c:pt>
                <c:pt idx="81">
                  <c:v>5.441095890410959</c:v>
                </c:pt>
                <c:pt idx="82">
                  <c:v>5.8109589041095893</c:v>
                </c:pt>
                <c:pt idx="83">
                  <c:v>5.8630136986301373</c:v>
                </c:pt>
                <c:pt idx="84">
                  <c:v>6.0410958904109586</c:v>
                </c:pt>
                <c:pt idx="85">
                  <c:v>6.0410958904109586</c:v>
                </c:pt>
                <c:pt idx="86">
                  <c:v>6.1479452054794521</c:v>
                </c:pt>
                <c:pt idx="87">
                  <c:v>6.5479452054794525</c:v>
                </c:pt>
                <c:pt idx="88">
                  <c:v>6.5616438356164384</c:v>
                </c:pt>
                <c:pt idx="89">
                  <c:v>6.8630136986301373</c:v>
                </c:pt>
                <c:pt idx="90">
                  <c:v>6.956164383561644</c:v>
                </c:pt>
                <c:pt idx="91">
                  <c:v>7.0712328767123287</c:v>
                </c:pt>
                <c:pt idx="92">
                  <c:v>7.1945205479452055</c:v>
                </c:pt>
                <c:pt idx="93">
                  <c:v>7.8684931506849312</c:v>
                </c:pt>
                <c:pt idx="94">
                  <c:v>8.0027397260273965</c:v>
                </c:pt>
                <c:pt idx="95">
                  <c:v>8.0821917808219172</c:v>
                </c:pt>
                <c:pt idx="96">
                  <c:v>8.213698630136987</c:v>
                </c:pt>
                <c:pt idx="97">
                  <c:v>8.331506849315069</c:v>
                </c:pt>
                <c:pt idx="98">
                  <c:v>8.3534246575342461</c:v>
                </c:pt>
                <c:pt idx="99">
                  <c:v>9.0767123287671225</c:v>
                </c:pt>
                <c:pt idx="100">
                  <c:v>9.3369863013698637</c:v>
                </c:pt>
                <c:pt idx="101">
                  <c:v>9.6191780821917803</c:v>
                </c:pt>
                <c:pt idx="102">
                  <c:v>9.6767123287671239</c:v>
                </c:pt>
                <c:pt idx="103">
                  <c:v>9.9041095890410951</c:v>
                </c:pt>
                <c:pt idx="104">
                  <c:v>10.145205479452056</c:v>
                </c:pt>
                <c:pt idx="105">
                  <c:v>10.230136986301369</c:v>
                </c:pt>
                <c:pt idx="106">
                  <c:v>10.243835616438357</c:v>
                </c:pt>
              </c:numCache>
            </c:numRef>
          </c:xVal>
          <c:yVal>
            <c:numRef>
              <c:f>'05.06.2017'!$E$2:$E$108</c:f>
              <c:numCache>
                <c:formatCode>#\ ##0.0000</c:formatCode>
                <c:ptCount val="107"/>
                <c:pt idx="0">
                  <c:v>10.2567</c:v>
                </c:pt>
                <c:pt idx="1">
                  <c:v>10.254300000000001</c:v>
                </c:pt>
                <c:pt idx="2">
                  <c:v>10.254300000000001</c:v>
                </c:pt>
                <c:pt idx="3">
                  <c:v>10.251799999999999</c:v>
                </c:pt>
                <c:pt idx="4">
                  <c:v>10.2494</c:v>
                </c:pt>
                <c:pt idx="5">
                  <c:v>10.2371</c:v>
                </c:pt>
                <c:pt idx="6">
                  <c:v>10.220000000000001</c:v>
                </c:pt>
                <c:pt idx="7">
                  <c:v>10.217599999999999</c:v>
                </c:pt>
                <c:pt idx="8">
                  <c:v>10.215199999999999</c:v>
                </c:pt>
                <c:pt idx="9">
                  <c:v>10.203099999999999</c:v>
                </c:pt>
                <c:pt idx="10">
                  <c:v>10.1983</c:v>
                </c:pt>
                <c:pt idx="11">
                  <c:v>10.1792</c:v>
                </c:pt>
                <c:pt idx="12">
                  <c:v>10.1485</c:v>
                </c:pt>
                <c:pt idx="13">
                  <c:v>10.132099999999999</c:v>
                </c:pt>
                <c:pt idx="14">
                  <c:v>10.0997</c:v>
                </c:pt>
                <c:pt idx="15">
                  <c:v>10.086</c:v>
                </c:pt>
                <c:pt idx="16">
                  <c:v>10.0838</c:v>
                </c:pt>
                <c:pt idx="17">
                  <c:v>10.0679</c:v>
                </c:pt>
                <c:pt idx="18">
                  <c:v>10.052199999999999</c:v>
                </c:pt>
                <c:pt idx="19">
                  <c:v>10.047700000000001</c:v>
                </c:pt>
                <c:pt idx="20">
                  <c:v>9.9906000000000006</c:v>
                </c:pt>
                <c:pt idx="21">
                  <c:v>9.9841999999999995</c:v>
                </c:pt>
                <c:pt idx="22">
                  <c:v>9.9756</c:v>
                </c:pt>
                <c:pt idx="23">
                  <c:v>9.9436999999999998</c:v>
                </c:pt>
                <c:pt idx="24">
                  <c:v>9.9311000000000007</c:v>
                </c:pt>
                <c:pt idx="25">
                  <c:v>9.9083000000000006</c:v>
                </c:pt>
                <c:pt idx="26">
                  <c:v>9.9021000000000008</c:v>
                </c:pt>
                <c:pt idx="27">
                  <c:v>9.8736999999999995</c:v>
                </c:pt>
                <c:pt idx="28">
                  <c:v>9.8457000000000008</c:v>
                </c:pt>
                <c:pt idx="29">
                  <c:v>9.7913999999999994</c:v>
                </c:pt>
                <c:pt idx="30">
                  <c:v>9.7263999999999999</c:v>
                </c:pt>
                <c:pt idx="31">
                  <c:v>9.6767000000000003</c:v>
                </c:pt>
                <c:pt idx="32">
                  <c:v>9.6290999999999993</c:v>
                </c:pt>
                <c:pt idx="33">
                  <c:v>9.5740999999999996</c:v>
                </c:pt>
                <c:pt idx="34">
                  <c:v>9.5724999999999998</c:v>
                </c:pt>
                <c:pt idx="35">
                  <c:v>9.5678000000000001</c:v>
                </c:pt>
                <c:pt idx="36">
                  <c:v>9.5296000000000003</c:v>
                </c:pt>
                <c:pt idx="37">
                  <c:v>9.4732000000000003</c:v>
                </c:pt>
                <c:pt idx="38">
                  <c:v>9.4484999999999992</c:v>
                </c:pt>
                <c:pt idx="39">
                  <c:v>9.4377999999999993</c:v>
                </c:pt>
                <c:pt idx="40">
                  <c:v>9.4352</c:v>
                </c:pt>
                <c:pt idx="41">
                  <c:v>9.4338999999999995</c:v>
                </c:pt>
                <c:pt idx="42">
                  <c:v>9.3931000000000004</c:v>
                </c:pt>
                <c:pt idx="43">
                  <c:v>9.3391000000000002</c:v>
                </c:pt>
                <c:pt idx="44">
                  <c:v>9.3292000000000002</c:v>
                </c:pt>
                <c:pt idx="45">
                  <c:v>9.2239000000000004</c:v>
                </c:pt>
                <c:pt idx="46">
                  <c:v>9.1978000000000009</c:v>
                </c:pt>
                <c:pt idx="47">
                  <c:v>9.1915999999999993</c:v>
                </c:pt>
                <c:pt idx="48">
                  <c:v>9.1837</c:v>
                </c:pt>
                <c:pt idx="49">
                  <c:v>9.1594999999999995</c:v>
                </c:pt>
                <c:pt idx="50">
                  <c:v>9.1542999999999992</c:v>
                </c:pt>
                <c:pt idx="51">
                  <c:v>9.1288</c:v>
                </c:pt>
                <c:pt idx="52">
                  <c:v>9.1170000000000009</c:v>
                </c:pt>
                <c:pt idx="53">
                  <c:v>9.1136999999999997</c:v>
                </c:pt>
                <c:pt idx="54">
                  <c:v>9.1203000000000003</c:v>
                </c:pt>
                <c:pt idx="55">
                  <c:v>9.1211000000000002</c:v>
                </c:pt>
                <c:pt idx="56">
                  <c:v>9.1316000000000006</c:v>
                </c:pt>
                <c:pt idx="57">
                  <c:v>9.1516999999999999</c:v>
                </c:pt>
                <c:pt idx="58">
                  <c:v>9.1639999999999997</c:v>
                </c:pt>
                <c:pt idx="59">
                  <c:v>9.1921999999999997</c:v>
                </c:pt>
                <c:pt idx="60">
                  <c:v>9.2116000000000007</c:v>
                </c:pt>
                <c:pt idx="61">
                  <c:v>9.2261000000000006</c:v>
                </c:pt>
                <c:pt idx="62">
                  <c:v>9.2652000000000001</c:v>
                </c:pt>
                <c:pt idx="63">
                  <c:v>9.2806999999999995</c:v>
                </c:pt>
                <c:pt idx="64">
                  <c:v>9.3129000000000008</c:v>
                </c:pt>
                <c:pt idx="65">
                  <c:v>9.3628</c:v>
                </c:pt>
                <c:pt idx="66">
                  <c:v>9.4539000000000009</c:v>
                </c:pt>
                <c:pt idx="67">
                  <c:v>9.4710000000000001</c:v>
                </c:pt>
                <c:pt idx="68">
                  <c:v>9.4771000000000001</c:v>
                </c:pt>
                <c:pt idx="69">
                  <c:v>9.5196000000000005</c:v>
                </c:pt>
                <c:pt idx="70">
                  <c:v>9.5215999999999994</c:v>
                </c:pt>
                <c:pt idx="71">
                  <c:v>9.5678000000000001</c:v>
                </c:pt>
                <c:pt idx="72">
                  <c:v>9.6112000000000002</c:v>
                </c:pt>
                <c:pt idx="73">
                  <c:v>9.6132000000000009</c:v>
                </c:pt>
                <c:pt idx="74">
                  <c:v>9.7196999999999996</c:v>
                </c:pt>
                <c:pt idx="75">
                  <c:v>9.7462999999999997</c:v>
                </c:pt>
                <c:pt idx="76">
                  <c:v>9.7889999999999997</c:v>
                </c:pt>
                <c:pt idx="77">
                  <c:v>9.7932000000000006</c:v>
                </c:pt>
                <c:pt idx="78">
                  <c:v>9.8195999999999994</c:v>
                </c:pt>
                <c:pt idx="79">
                  <c:v>9.8394999999999992</c:v>
                </c:pt>
                <c:pt idx="80">
                  <c:v>9.8884000000000007</c:v>
                </c:pt>
                <c:pt idx="81">
                  <c:v>9.8945000000000007</c:v>
                </c:pt>
                <c:pt idx="82">
                  <c:v>9.8651999999999997</c:v>
                </c:pt>
                <c:pt idx="83">
                  <c:v>9.8553999999999995</c:v>
                </c:pt>
                <c:pt idx="84">
                  <c:v>9.8097999999999992</c:v>
                </c:pt>
                <c:pt idx="85">
                  <c:v>9.8097999999999992</c:v>
                </c:pt>
                <c:pt idx="86">
                  <c:v>9.7733000000000008</c:v>
                </c:pt>
                <c:pt idx="87">
                  <c:v>9.5681999999999992</c:v>
                </c:pt>
                <c:pt idx="88">
                  <c:v>9.5591000000000008</c:v>
                </c:pt>
                <c:pt idx="89">
                  <c:v>9.3223000000000003</c:v>
                </c:pt>
                <c:pt idx="90">
                  <c:v>9.2718000000000007</c:v>
                </c:pt>
                <c:pt idx="91">
                  <c:v>9.2437000000000005</c:v>
                </c:pt>
                <c:pt idx="92">
                  <c:v>9.2126999999999999</c:v>
                </c:pt>
                <c:pt idx="93">
                  <c:v>9.0267999999999997</c:v>
                </c:pt>
                <c:pt idx="94">
                  <c:v>8.9863999999999997</c:v>
                </c:pt>
                <c:pt idx="95">
                  <c:v>8.9619999999999997</c:v>
                </c:pt>
                <c:pt idx="96">
                  <c:v>8.9207999999999998</c:v>
                </c:pt>
                <c:pt idx="97">
                  <c:v>8.8828999999999994</c:v>
                </c:pt>
                <c:pt idx="98">
                  <c:v>8.8757999999999999</c:v>
                </c:pt>
                <c:pt idx="99">
                  <c:v>8.6237999999999992</c:v>
                </c:pt>
                <c:pt idx="100">
                  <c:v>8.5252999999999997</c:v>
                </c:pt>
                <c:pt idx="101">
                  <c:v>8.4138000000000002</c:v>
                </c:pt>
                <c:pt idx="102">
                  <c:v>8.3903999999999996</c:v>
                </c:pt>
                <c:pt idx="103">
                  <c:v>8.2962000000000007</c:v>
                </c:pt>
                <c:pt idx="104">
                  <c:v>8.1928999999999998</c:v>
                </c:pt>
                <c:pt idx="105">
                  <c:v>8.1555999999999997</c:v>
                </c:pt>
                <c:pt idx="106">
                  <c:v>8.1494999999999997</c:v>
                </c:pt>
              </c:numCache>
            </c:numRef>
          </c:yVal>
          <c:smooth val="1"/>
          <c:extLst xmlns:c16r2="http://schemas.microsoft.com/office/drawing/2015/06/chart">
            <c:ext xmlns:c16="http://schemas.microsoft.com/office/drawing/2014/chart" uri="{C3380CC4-5D6E-409C-BE32-E72D297353CC}">
              <c16:uniqueId val="{00000001-D83D-46D9-B52B-7B590EAF797E}"/>
            </c:ext>
          </c:extLst>
        </c:ser>
        <c:ser>
          <c:idx val="1"/>
          <c:order val="2"/>
          <c:tx>
            <c:strRef>
              <c:f>'03.07.2017'!$A$1:$B$1</c:f>
              <c:strCache>
                <c:ptCount val="1"/>
                <c:pt idx="0">
                  <c:v>2017.03.07.</c:v>
                </c:pt>
              </c:strCache>
            </c:strRef>
          </c:tx>
          <c:marker>
            <c:symbol val="none"/>
          </c:marker>
          <c:xVal>
            <c:numRef>
              <c:f>'03.07.2017'!$K$5:$K$117</c:f>
              <c:numCache>
                <c:formatCode>General</c:formatCode>
                <c:ptCount val="113"/>
                <c:pt idx="0">
                  <c:v>2.7397260273972603E-3</c:v>
                </c:pt>
                <c:pt idx="1">
                  <c:v>5.4794520547945206E-3</c:v>
                </c:pt>
                <c:pt idx="2">
                  <c:v>5.4794520547945206E-3</c:v>
                </c:pt>
                <c:pt idx="3">
                  <c:v>1.3698630136986301E-2</c:v>
                </c:pt>
                <c:pt idx="4">
                  <c:v>1.9178082191780823E-2</c:v>
                </c:pt>
                <c:pt idx="5">
                  <c:v>1.9178082191780823E-2</c:v>
                </c:pt>
                <c:pt idx="6">
                  <c:v>1.9178082191780823E-2</c:v>
                </c:pt>
                <c:pt idx="7">
                  <c:v>2.4657534246575342E-2</c:v>
                </c:pt>
                <c:pt idx="8">
                  <c:v>4.3835616438356165E-2</c:v>
                </c:pt>
                <c:pt idx="9">
                  <c:v>4.9315068493150684E-2</c:v>
                </c:pt>
                <c:pt idx="10">
                  <c:v>6.3013698630136991E-2</c:v>
                </c:pt>
                <c:pt idx="11">
                  <c:v>6.8493150684931503E-2</c:v>
                </c:pt>
                <c:pt idx="12">
                  <c:v>0.10684931506849316</c:v>
                </c:pt>
                <c:pt idx="13">
                  <c:v>0.12328767123287671</c:v>
                </c:pt>
                <c:pt idx="14">
                  <c:v>0.12602739726027398</c:v>
                </c:pt>
                <c:pt idx="15">
                  <c:v>0.14520547945205478</c:v>
                </c:pt>
                <c:pt idx="16">
                  <c:v>0.16438356164383561</c:v>
                </c:pt>
                <c:pt idx="17">
                  <c:v>0.16986301369863013</c:v>
                </c:pt>
                <c:pt idx="18">
                  <c:v>0.20273972602739726</c:v>
                </c:pt>
                <c:pt idx="19">
                  <c:v>0.24109589041095891</c:v>
                </c:pt>
                <c:pt idx="20">
                  <c:v>0.24931506849315069</c:v>
                </c:pt>
                <c:pt idx="21">
                  <c:v>0.26027397260273971</c:v>
                </c:pt>
                <c:pt idx="22">
                  <c:v>0.30136986301369861</c:v>
                </c:pt>
                <c:pt idx="23">
                  <c:v>0.31780821917808222</c:v>
                </c:pt>
                <c:pt idx="24">
                  <c:v>0.34794520547945207</c:v>
                </c:pt>
                <c:pt idx="25">
                  <c:v>0.35616438356164382</c:v>
                </c:pt>
                <c:pt idx="26">
                  <c:v>0.39452054794520547</c:v>
                </c:pt>
                <c:pt idx="27">
                  <c:v>0.43287671232876712</c:v>
                </c:pt>
                <c:pt idx="28">
                  <c:v>0.49041095890410957</c:v>
                </c:pt>
                <c:pt idx="29">
                  <c:v>0.50958904109589043</c:v>
                </c:pt>
                <c:pt idx="30">
                  <c:v>0.60547945205479448</c:v>
                </c:pt>
                <c:pt idx="31">
                  <c:v>0.68219178082191778</c:v>
                </c:pt>
                <c:pt idx="32">
                  <c:v>0.75890410958904109</c:v>
                </c:pt>
                <c:pt idx="33">
                  <c:v>0.852054794520548</c:v>
                </c:pt>
                <c:pt idx="34">
                  <c:v>0.85479452054794525</c:v>
                </c:pt>
                <c:pt idx="35">
                  <c:v>0.86301369863013699</c:v>
                </c:pt>
                <c:pt idx="36">
                  <c:v>0.93150684931506844</c:v>
                </c:pt>
                <c:pt idx="37">
                  <c:v>0.93150684931506844</c:v>
                </c:pt>
                <c:pt idx="38">
                  <c:v>1.0383561643835617</c:v>
                </c:pt>
                <c:pt idx="39">
                  <c:v>1.0876712328767124</c:v>
                </c:pt>
                <c:pt idx="40">
                  <c:v>1.1095890410958904</c:v>
                </c:pt>
                <c:pt idx="41">
                  <c:v>1.1150684931506849</c:v>
                </c:pt>
                <c:pt idx="42">
                  <c:v>1.1178082191780823</c:v>
                </c:pt>
                <c:pt idx="43">
                  <c:v>1.2054794520547945</c:v>
                </c:pt>
                <c:pt idx="44">
                  <c:v>1.3315068493150686</c:v>
                </c:pt>
                <c:pt idx="45">
                  <c:v>1.3561643835616439</c:v>
                </c:pt>
                <c:pt idx="46">
                  <c:v>1.6630136986301369</c:v>
                </c:pt>
                <c:pt idx="47">
                  <c:v>1.7589041095890412</c:v>
                </c:pt>
                <c:pt idx="48">
                  <c:v>1.7835616438356163</c:v>
                </c:pt>
                <c:pt idx="49">
                  <c:v>1.8164383561643835</c:v>
                </c:pt>
                <c:pt idx="50">
                  <c:v>1.9287671232876713</c:v>
                </c:pt>
                <c:pt idx="51">
                  <c:v>1.9561643835616438</c:v>
                </c:pt>
                <c:pt idx="52">
                  <c:v>2.117808219178082</c:v>
                </c:pt>
                <c:pt idx="53">
                  <c:v>2.2246575342465755</c:v>
                </c:pt>
                <c:pt idx="54">
                  <c:v>2.2630136986301368</c:v>
                </c:pt>
                <c:pt idx="55">
                  <c:v>2.495890410958904</c:v>
                </c:pt>
                <c:pt idx="56">
                  <c:v>2.5013698630136987</c:v>
                </c:pt>
                <c:pt idx="57">
                  <c:v>2.5671232876712327</c:v>
                </c:pt>
                <c:pt idx="58">
                  <c:v>2.6739726027397261</c:v>
                </c:pt>
                <c:pt idx="59">
                  <c:v>2.7315068493150685</c:v>
                </c:pt>
                <c:pt idx="60">
                  <c:v>2.8493150684931505</c:v>
                </c:pt>
                <c:pt idx="61">
                  <c:v>2.9232876712328766</c:v>
                </c:pt>
                <c:pt idx="62">
                  <c:v>2.9753424657534246</c:v>
                </c:pt>
                <c:pt idx="63">
                  <c:v>3.106849315068493</c:v>
                </c:pt>
                <c:pt idx="64">
                  <c:v>3.1561643835616437</c:v>
                </c:pt>
                <c:pt idx="65">
                  <c:v>3.2547945205479452</c:v>
                </c:pt>
                <c:pt idx="66">
                  <c:v>3.4</c:v>
                </c:pt>
                <c:pt idx="67">
                  <c:v>3.6520547945205482</c:v>
                </c:pt>
                <c:pt idx="68">
                  <c:v>3.6986301369863015</c:v>
                </c:pt>
                <c:pt idx="69">
                  <c:v>3.7150684931506848</c:v>
                </c:pt>
                <c:pt idx="70">
                  <c:v>3.8301369863013699</c:v>
                </c:pt>
                <c:pt idx="71">
                  <c:v>3.8356164383561642</c:v>
                </c:pt>
                <c:pt idx="72">
                  <c:v>3.9616438356164383</c:v>
                </c:pt>
                <c:pt idx="73">
                  <c:v>4.0821917808219181</c:v>
                </c:pt>
                <c:pt idx="74">
                  <c:v>4.087671232876712</c:v>
                </c:pt>
                <c:pt idx="75">
                  <c:v>4.4054794520547942</c:v>
                </c:pt>
                <c:pt idx="76">
                  <c:v>4.493150684931507</c:v>
                </c:pt>
                <c:pt idx="77">
                  <c:v>4.646575342465753</c:v>
                </c:pt>
                <c:pt idx="78">
                  <c:v>4.6630136986301371</c:v>
                </c:pt>
                <c:pt idx="79">
                  <c:v>4.7726027397260271</c:v>
                </c:pt>
                <c:pt idx="80">
                  <c:v>4.8657534246575347</c:v>
                </c:pt>
                <c:pt idx="81">
                  <c:v>4.9315068493150687</c:v>
                </c:pt>
                <c:pt idx="82">
                  <c:v>5.2191780821917808</c:v>
                </c:pt>
                <c:pt idx="83">
                  <c:v>5.3643835616438356</c:v>
                </c:pt>
                <c:pt idx="84">
                  <c:v>5.7342465753424658</c:v>
                </c:pt>
                <c:pt idx="85">
                  <c:v>5.7863013698630139</c:v>
                </c:pt>
                <c:pt idx="86">
                  <c:v>5.9178082191780819</c:v>
                </c:pt>
                <c:pt idx="87">
                  <c:v>5.9643835616438352</c:v>
                </c:pt>
                <c:pt idx="88">
                  <c:v>5.9643835616438352</c:v>
                </c:pt>
                <c:pt idx="89">
                  <c:v>6.0712328767123287</c:v>
                </c:pt>
                <c:pt idx="90">
                  <c:v>6.4712328767123291</c:v>
                </c:pt>
                <c:pt idx="91">
                  <c:v>6.484931506849315</c:v>
                </c:pt>
                <c:pt idx="92">
                  <c:v>6.7863013698630139</c:v>
                </c:pt>
                <c:pt idx="93">
                  <c:v>6.8794520547945206</c:v>
                </c:pt>
                <c:pt idx="94">
                  <c:v>6.9945205479452053</c:v>
                </c:pt>
                <c:pt idx="95">
                  <c:v>7.117808219178082</c:v>
                </c:pt>
                <c:pt idx="96">
                  <c:v>7.7917808219178086</c:v>
                </c:pt>
                <c:pt idx="97">
                  <c:v>7.9260273972602739</c:v>
                </c:pt>
                <c:pt idx="98">
                  <c:v>8.0054794520547947</c:v>
                </c:pt>
                <c:pt idx="99">
                  <c:v>8.1369863013698627</c:v>
                </c:pt>
                <c:pt idx="100">
                  <c:v>8.2547945205479447</c:v>
                </c:pt>
                <c:pt idx="101">
                  <c:v>8.2767123287671236</c:v>
                </c:pt>
                <c:pt idx="102">
                  <c:v>8.8767123287671232</c:v>
                </c:pt>
                <c:pt idx="103">
                  <c:v>9</c:v>
                </c:pt>
                <c:pt idx="104">
                  <c:v>9.2602739726027394</c:v>
                </c:pt>
                <c:pt idx="105">
                  <c:v>9.5424657534246577</c:v>
                </c:pt>
                <c:pt idx="106">
                  <c:v>9.6</c:v>
                </c:pt>
                <c:pt idx="107">
                  <c:v>9.8273972602739725</c:v>
                </c:pt>
                <c:pt idx="108">
                  <c:v>9.8630136986301373</c:v>
                </c:pt>
                <c:pt idx="109">
                  <c:v>10.068493150684931</c:v>
                </c:pt>
                <c:pt idx="110">
                  <c:v>10.153424657534247</c:v>
                </c:pt>
                <c:pt idx="111">
                  <c:v>10.167123287671233</c:v>
                </c:pt>
                <c:pt idx="112">
                  <c:v>10.643835616438356</c:v>
                </c:pt>
              </c:numCache>
            </c:numRef>
          </c:xVal>
          <c:yVal>
            <c:numRef>
              <c:f>'03.07.2017'!$E$5:$E$117</c:f>
              <c:numCache>
                <c:formatCode>#\ ##0.0000</c:formatCode>
                <c:ptCount val="113"/>
                <c:pt idx="0">
                  <c:v>9.9428999999999998</c:v>
                </c:pt>
                <c:pt idx="1">
                  <c:v>9.9398999999999997</c:v>
                </c:pt>
                <c:pt idx="2">
                  <c:v>9.9398999999999997</c:v>
                </c:pt>
                <c:pt idx="3">
                  <c:v>9.9308999999999994</c:v>
                </c:pt>
                <c:pt idx="4">
                  <c:v>9.9250000000000007</c:v>
                </c:pt>
                <c:pt idx="5">
                  <c:v>9.9250000000000007</c:v>
                </c:pt>
                <c:pt idx="6">
                  <c:v>9.9250000000000007</c:v>
                </c:pt>
                <c:pt idx="7">
                  <c:v>9.9191000000000003</c:v>
                </c:pt>
                <c:pt idx="8">
                  <c:v>9.8984000000000005</c:v>
                </c:pt>
                <c:pt idx="9">
                  <c:v>9.8925999999999998</c:v>
                </c:pt>
                <c:pt idx="10">
                  <c:v>9.8780000000000001</c:v>
                </c:pt>
                <c:pt idx="11">
                  <c:v>9.8721999999999994</c:v>
                </c:pt>
                <c:pt idx="12">
                  <c:v>9.8318999999999992</c:v>
                </c:pt>
                <c:pt idx="13">
                  <c:v>9.8148999999999997</c:v>
                </c:pt>
                <c:pt idx="14">
                  <c:v>9.8120999999999992</c:v>
                </c:pt>
                <c:pt idx="15">
                  <c:v>9.7924000000000007</c:v>
                </c:pt>
                <c:pt idx="16">
                  <c:v>9.7728999999999999</c:v>
                </c:pt>
                <c:pt idx="17">
                  <c:v>9.7674000000000003</c:v>
                </c:pt>
                <c:pt idx="18">
                  <c:v>9.7344000000000008</c:v>
                </c:pt>
                <c:pt idx="19">
                  <c:v>9.6966999999999999</c:v>
                </c:pt>
                <c:pt idx="20">
                  <c:v>9.6887000000000008</c:v>
                </c:pt>
                <c:pt idx="21">
                  <c:v>9.6781000000000006</c:v>
                </c:pt>
                <c:pt idx="22">
                  <c:v>9.6425999999999998</c:v>
                </c:pt>
                <c:pt idx="23">
                  <c:v>9.6294000000000004</c:v>
                </c:pt>
                <c:pt idx="24">
                  <c:v>9.6057000000000006</c:v>
                </c:pt>
                <c:pt idx="25">
                  <c:v>9.5992999999999995</c:v>
                </c:pt>
                <c:pt idx="26">
                  <c:v>9.5703999999999994</c:v>
                </c:pt>
                <c:pt idx="27">
                  <c:v>9.5422999999999991</c:v>
                </c:pt>
                <c:pt idx="28">
                  <c:v>9.5020000000000007</c:v>
                </c:pt>
                <c:pt idx="29">
                  <c:v>9.4892000000000003</c:v>
                </c:pt>
                <c:pt idx="30">
                  <c:v>9.4280000000000008</c:v>
                </c:pt>
                <c:pt idx="31">
                  <c:v>9.3832000000000004</c:v>
                </c:pt>
                <c:pt idx="32">
                  <c:v>9.3420000000000005</c:v>
                </c:pt>
                <c:pt idx="33">
                  <c:v>9.2965999999999998</c:v>
                </c:pt>
                <c:pt idx="34">
                  <c:v>9.2952999999999992</c:v>
                </c:pt>
                <c:pt idx="35">
                  <c:v>9.2916000000000007</c:v>
                </c:pt>
                <c:pt idx="36">
                  <c:v>9.2617999999999991</c:v>
                </c:pt>
                <c:pt idx="37">
                  <c:v>9.2617999999999991</c:v>
                </c:pt>
                <c:pt idx="38">
                  <c:v>9.2204999999999995</c:v>
                </c:pt>
                <c:pt idx="39">
                  <c:v>9.2034000000000002</c:v>
                </c:pt>
                <c:pt idx="40">
                  <c:v>9.1963000000000008</c:v>
                </c:pt>
                <c:pt idx="41">
                  <c:v>9.1945999999999994</c:v>
                </c:pt>
                <c:pt idx="42">
                  <c:v>9.1936999999999998</c:v>
                </c:pt>
                <c:pt idx="43">
                  <c:v>9.1678999999999995</c:v>
                </c:pt>
                <c:pt idx="44">
                  <c:v>9.1374999999999993</c:v>
                </c:pt>
                <c:pt idx="45">
                  <c:v>9.1324000000000005</c:v>
                </c:pt>
                <c:pt idx="46">
                  <c:v>9.0919000000000008</c:v>
                </c:pt>
                <c:pt idx="47">
                  <c:v>9.0870999999999995</c:v>
                </c:pt>
                <c:pt idx="48">
                  <c:v>9.0864999999999991</c:v>
                </c:pt>
                <c:pt idx="49">
                  <c:v>9.0860000000000003</c:v>
                </c:pt>
                <c:pt idx="50">
                  <c:v>9.0871999999999993</c:v>
                </c:pt>
                <c:pt idx="51">
                  <c:v>9.0882000000000005</c:v>
                </c:pt>
                <c:pt idx="52">
                  <c:v>9.0989000000000004</c:v>
                </c:pt>
                <c:pt idx="53">
                  <c:v>9.1103000000000005</c:v>
                </c:pt>
                <c:pt idx="54">
                  <c:v>9.1151999999999997</c:v>
                </c:pt>
                <c:pt idx="55">
                  <c:v>9.1529000000000007</c:v>
                </c:pt>
                <c:pt idx="56">
                  <c:v>9.1539999999999999</c:v>
                </c:pt>
                <c:pt idx="57">
                  <c:v>9.1669999999999998</c:v>
                </c:pt>
                <c:pt idx="58">
                  <c:v>9.19</c:v>
                </c:pt>
                <c:pt idx="59">
                  <c:v>9.2032000000000007</c:v>
                </c:pt>
                <c:pt idx="60">
                  <c:v>9.2322000000000006</c:v>
                </c:pt>
                <c:pt idx="61">
                  <c:v>9.2514000000000003</c:v>
                </c:pt>
                <c:pt idx="62">
                  <c:v>9.2652999999999999</c:v>
                </c:pt>
                <c:pt idx="63">
                  <c:v>9.3018999999999998</c:v>
                </c:pt>
                <c:pt idx="64">
                  <c:v>9.3160000000000007</c:v>
                </c:pt>
                <c:pt idx="65">
                  <c:v>9.3449000000000009</c:v>
                </c:pt>
                <c:pt idx="66">
                  <c:v>9.3882999999999992</c:v>
                </c:pt>
                <c:pt idx="67">
                  <c:v>9.4648000000000003</c:v>
                </c:pt>
                <c:pt idx="68">
                  <c:v>9.4788999999999994</c:v>
                </c:pt>
                <c:pt idx="69">
                  <c:v>9.4838000000000005</c:v>
                </c:pt>
                <c:pt idx="70">
                  <c:v>9.5180000000000007</c:v>
                </c:pt>
                <c:pt idx="71">
                  <c:v>9.5196000000000005</c:v>
                </c:pt>
                <c:pt idx="72">
                  <c:v>9.5561000000000007</c:v>
                </c:pt>
                <c:pt idx="73">
                  <c:v>9.5897000000000006</c:v>
                </c:pt>
                <c:pt idx="74">
                  <c:v>9.5911000000000008</c:v>
                </c:pt>
                <c:pt idx="75">
                  <c:v>9.6700999999999997</c:v>
                </c:pt>
                <c:pt idx="76">
                  <c:v>9.6889000000000003</c:v>
                </c:pt>
                <c:pt idx="77">
                  <c:v>9.7178000000000004</c:v>
                </c:pt>
                <c:pt idx="78">
                  <c:v>9.7205999999999992</c:v>
                </c:pt>
                <c:pt idx="79">
                  <c:v>9.7375000000000007</c:v>
                </c:pt>
                <c:pt idx="80">
                  <c:v>9.7492999999999999</c:v>
                </c:pt>
                <c:pt idx="81">
                  <c:v>9.7561999999999998</c:v>
                </c:pt>
                <c:pt idx="82">
                  <c:v>9.7704000000000004</c:v>
                </c:pt>
                <c:pt idx="83">
                  <c:v>9.7665000000000006</c:v>
                </c:pt>
                <c:pt idx="84">
                  <c:v>9.7180999999999997</c:v>
                </c:pt>
                <c:pt idx="85">
                  <c:v>9.7064000000000004</c:v>
                </c:pt>
                <c:pt idx="86">
                  <c:v>9.6708999999999996</c:v>
                </c:pt>
                <c:pt idx="87">
                  <c:v>9.6562999999999999</c:v>
                </c:pt>
                <c:pt idx="88">
                  <c:v>9.6562999999999999</c:v>
                </c:pt>
                <c:pt idx="89">
                  <c:v>9.6183999999999994</c:v>
                </c:pt>
                <c:pt idx="90">
                  <c:v>9.4196000000000009</c:v>
                </c:pt>
                <c:pt idx="91">
                  <c:v>9.4110999999999994</c:v>
                </c:pt>
                <c:pt idx="92">
                  <c:v>9.1931999999999992</c:v>
                </c:pt>
                <c:pt idx="93">
                  <c:v>9.1134000000000004</c:v>
                </c:pt>
                <c:pt idx="94">
                  <c:v>9.0775000000000006</c:v>
                </c:pt>
                <c:pt idx="95">
                  <c:v>9.0591000000000008</c:v>
                </c:pt>
                <c:pt idx="96">
                  <c:v>8.9639000000000006</c:v>
                </c:pt>
                <c:pt idx="97">
                  <c:v>8.9460999999999995</c:v>
                </c:pt>
                <c:pt idx="98">
                  <c:v>8.9357000000000006</c:v>
                </c:pt>
                <c:pt idx="99">
                  <c:v>8.9186999999999994</c:v>
                </c:pt>
                <c:pt idx="100">
                  <c:v>8.9038000000000004</c:v>
                </c:pt>
                <c:pt idx="101">
                  <c:v>8.9010999999999996</c:v>
                </c:pt>
                <c:pt idx="102">
                  <c:v>9.1</c:v>
                </c:pt>
                <c:pt idx="103">
                  <c:v>8.8161000000000005</c:v>
                </c:pt>
                <c:pt idx="104">
                  <c:v>8.7881</c:v>
                </c:pt>
                <c:pt idx="105">
                  <c:v>8.7592999999999996</c:v>
                </c:pt>
                <c:pt idx="106">
                  <c:v>8.7536000000000005</c:v>
                </c:pt>
                <c:pt idx="107">
                  <c:v>8.7317999999999998</c:v>
                </c:pt>
                <c:pt idx="108">
                  <c:v>9</c:v>
                </c:pt>
                <c:pt idx="109">
                  <c:v>8.7097999999999995</c:v>
                </c:pt>
                <c:pt idx="110">
                  <c:v>8.7022999999999993</c:v>
                </c:pt>
                <c:pt idx="111">
                  <c:v>8.7012</c:v>
                </c:pt>
                <c:pt idx="112">
                  <c:v>8.6621000000000006</c:v>
                </c:pt>
              </c:numCache>
            </c:numRef>
          </c:yVal>
          <c:smooth val="1"/>
          <c:extLst xmlns:c16r2="http://schemas.microsoft.com/office/drawing/2015/06/chart">
            <c:ext xmlns:c16="http://schemas.microsoft.com/office/drawing/2014/chart" uri="{C3380CC4-5D6E-409C-BE32-E72D297353CC}">
              <c16:uniqueId val="{00000002-D83D-46D9-B52B-7B590EAF797E}"/>
            </c:ext>
          </c:extLst>
        </c:ser>
        <c:dLbls>
          <c:showLegendKey val="0"/>
          <c:showVal val="0"/>
          <c:showCatName val="0"/>
          <c:showSerName val="0"/>
          <c:showPercent val="0"/>
          <c:showBubbleSize val="0"/>
        </c:dLbls>
        <c:axId val="217500480"/>
        <c:axId val="217499328"/>
      </c:scatterChart>
      <c:valAx>
        <c:axId val="217500480"/>
        <c:scaling>
          <c:orientation val="minMax"/>
          <c:max val="10"/>
          <c:min val="0"/>
        </c:scaling>
        <c:delete val="0"/>
        <c:axPos val="b"/>
        <c:title>
          <c:tx>
            <c:rich>
              <a:bodyPr/>
              <a:lstStyle/>
              <a:p>
                <a:pPr>
                  <a:defRPr/>
                </a:pPr>
                <a:r>
                  <a:rPr lang="ru-RU" sz="1000" b="1" i="0" baseline="0">
                    <a:effectLst/>
                  </a:rPr>
                  <a:t>Өтеуге дейінгі жылдар саны </a:t>
                </a:r>
                <a:endParaRPr lang="ru-RU" sz="1000">
                  <a:effectLst/>
                </a:endParaRPr>
              </a:p>
            </c:rich>
          </c:tx>
          <c:overlay val="0"/>
        </c:title>
        <c:numFmt formatCode="0" sourceLinked="0"/>
        <c:majorTickMark val="out"/>
        <c:minorTickMark val="none"/>
        <c:tickLblPos val="nextTo"/>
        <c:txPr>
          <a:bodyPr rot="0" vert="horz"/>
          <a:lstStyle/>
          <a:p>
            <a:pPr>
              <a:defRPr/>
            </a:pPr>
            <a:endParaRPr lang="ru-RU"/>
          </a:p>
        </c:txPr>
        <c:crossAx val="217499328"/>
        <c:crosses val="autoZero"/>
        <c:crossBetween val="midCat"/>
      </c:valAx>
      <c:valAx>
        <c:axId val="217499328"/>
        <c:scaling>
          <c:orientation val="minMax"/>
          <c:max val="13"/>
          <c:min val="8"/>
        </c:scaling>
        <c:delete val="0"/>
        <c:axPos val="l"/>
        <c:majorGridlines>
          <c:spPr>
            <a:ln>
              <a:prstDash val="dash"/>
            </a:ln>
          </c:spPr>
        </c:majorGridlines>
        <c:title>
          <c:tx>
            <c:rich>
              <a:bodyPr rot="0" vert="horz"/>
              <a:lstStyle/>
              <a:p>
                <a:pPr>
                  <a:defRPr/>
                </a:pPr>
                <a:r>
                  <a:rPr lang="ru-RU" sz="1000" b="1" i="0" u="none" strike="noStrike" baseline="0">
                    <a:effectLst/>
                  </a:rPr>
                  <a:t>Жылдық кірістілік</a:t>
                </a:r>
                <a:r>
                  <a:rPr lang="ru-RU"/>
                  <a:t>, %</a:t>
                </a:r>
              </a:p>
            </c:rich>
          </c:tx>
          <c:layout>
            <c:manualLayout>
              <c:xMode val="edge"/>
              <c:yMode val="edge"/>
              <c:x val="2.739913609511236E-2"/>
              <c:y val="2.2725594875245437E-3"/>
            </c:manualLayout>
          </c:layout>
          <c:overlay val="0"/>
        </c:title>
        <c:numFmt formatCode="#,##0" sourceLinked="0"/>
        <c:majorTickMark val="out"/>
        <c:minorTickMark val="none"/>
        <c:tickLblPos val="nextTo"/>
        <c:txPr>
          <a:bodyPr rot="0" vert="horz"/>
          <a:lstStyle/>
          <a:p>
            <a:pPr>
              <a:defRPr/>
            </a:pPr>
            <a:endParaRPr lang="ru-RU"/>
          </a:p>
        </c:txPr>
        <c:crossAx val="217500480"/>
        <c:crosses val="autoZero"/>
        <c:crossBetween val="midCat"/>
      </c:valAx>
    </c:plotArea>
    <c:legend>
      <c:legendPos val="t"/>
      <c:layout>
        <c:manualLayout>
          <c:xMode val="edge"/>
          <c:yMode val="edge"/>
          <c:x val="0.25176781473744347"/>
          <c:y val="2.0736294755608384E-2"/>
          <c:w val="0.67018867249993297"/>
          <c:h val="0.10303654350898446"/>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979231269612206E-2"/>
          <c:y val="4.1228251206502406E-2"/>
          <c:w val="0.89524718505293654"/>
          <c:h val="0.55138589027178053"/>
        </c:manualLayout>
      </c:layout>
      <c:lineChart>
        <c:grouping val="standard"/>
        <c:varyColors val="0"/>
        <c:ser>
          <c:idx val="2"/>
          <c:order val="0"/>
          <c:tx>
            <c:strRef>
              <c:f>'TONIA 06.01.2017'!$G$1</c:f>
              <c:strCache>
                <c:ptCount val="1"/>
                <c:pt idx="0">
                  <c:v>Өтімділікті алу бойынша тұрақты қолжетімділік операциялары</c:v>
                </c:pt>
              </c:strCache>
            </c:strRef>
          </c:tx>
          <c:spPr>
            <a:ln w="31750">
              <a:solidFill>
                <a:srgbClr val="8C271F"/>
              </a:solidFill>
              <a:prstDash val="sysDash"/>
            </a:ln>
          </c:spPr>
          <c:marker>
            <c:symbol val="none"/>
          </c:marker>
          <c:cat>
            <c:numRef>
              <c:f>'TONIA 06.01.2017'!$A$3:$A$463</c:f>
              <c:numCache>
                <c:formatCode>dd\.mm\.yy</c:formatCode>
                <c:ptCount val="461"/>
                <c:pt idx="0">
                  <c:v>42248.75</c:v>
                </c:pt>
                <c:pt idx="1">
                  <c:v>42249.75</c:v>
                </c:pt>
                <c:pt idx="2">
                  <c:v>42250.75</c:v>
                </c:pt>
                <c:pt idx="3">
                  <c:v>42251.75</c:v>
                </c:pt>
                <c:pt idx="4">
                  <c:v>42254.75</c:v>
                </c:pt>
                <c:pt idx="5">
                  <c:v>42255.75</c:v>
                </c:pt>
                <c:pt idx="6">
                  <c:v>42256.75</c:v>
                </c:pt>
                <c:pt idx="7">
                  <c:v>42257.75</c:v>
                </c:pt>
                <c:pt idx="8">
                  <c:v>42258.75</c:v>
                </c:pt>
                <c:pt idx="9">
                  <c:v>42261.75</c:v>
                </c:pt>
                <c:pt idx="10">
                  <c:v>42262.75</c:v>
                </c:pt>
                <c:pt idx="11">
                  <c:v>42263.75</c:v>
                </c:pt>
                <c:pt idx="12">
                  <c:v>42264.75</c:v>
                </c:pt>
                <c:pt idx="13">
                  <c:v>42265.75</c:v>
                </c:pt>
                <c:pt idx="14">
                  <c:v>42268.75</c:v>
                </c:pt>
                <c:pt idx="15">
                  <c:v>42269.75</c:v>
                </c:pt>
                <c:pt idx="16">
                  <c:v>42270.75</c:v>
                </c:pt>
                <c:pt idx="17">
                  <c:v>42272.75</c:v>
                </c:pt>
                <c:pt idx="18">
                  <c:v>42275.75</c:v>
                </c:pt>
                <c:pt idx="19">
                  <c:v>42276.75</c:v>
                </c:pt>
                <c:pt idx="20">
                  <c:v>42277.75</c:v>
                </c:pt>
                <c:pt idx="21">
                  <c:v>42278.75</c:v>
                </c:pt>
                <c:pt idx="22">
                  <c:v>42279.75</c:v>
                </c:pt>
                <c:pt idx="23">
                  <c:v>42282.75</c:v>
                </c:pt>
                <c:pt idx="24">
                  <c:v>42283.75</c:v>
                </c:pt>
                <c:pt idx="25">
                  <c:v>42284.75</c:v>
                </c:pt>
                <c:pt idx="26">
                  <c:v>42285.75</c:v>
                </c:pt>
                <c:pt idx="27">
                  <c:v>42286.75</c:v>
                </c:pt>
                <c:pt idx="28">
                  <c:v>42289.75</c:v>
                </c:pt>
                <c:pt idx="29">
                  <c:v>42290.75</c:v>
                </c:pt>
                <c:pt idx="30">
                  <c:v>42291.75</c:v>
                </c:pt>
                <c:pt idx="31">
                  <c:v>42292.75</c:v>
                </c:pt>
                <c:pt idx="32">
                  <c:v>42293.75</c:v>
                </c:pt>
                <c:pt idx="33">
                  <c:v>42296.75</c:v>
                </c:pt>
                <c:pt idx="34">
                  <c:v>42297.75</c:v>
                </c:pt>
                <c:pt idx="35">
                  <c:v>42298.75</c:v>
                </c:pt>
                <c:pt idx="36">
                  <c:v>42299.75</c:v>
                </c:pt>
                <c:pt idx="37">
                  <c:v>42300.75</c:v>
                </c:pt>
                <c:pt idx="38">
                  <c:v>42303.75</c:v>
                </c:pt>
                <c:pt idx="39">
                  <c:v>42304.75</c:v>
                </c:pt>
                <c:pt idx="40">
                  <c:v>42305.75</c:v>
                </c:pt>
                <c:pt idx="41">
                  <c:v>42306.75</c:v>
                </c:pt>
                <c:pt idx="42">
                  <c:v>42307.75</c:v>
                </c:pt>
                <c:pt idx="43">
                  <c:v>42310.75</c:v>
                </c:pt>
                <c:pt idx="44">
                  <c:v>42311.75</c:v>
                </c:pt>
                <c:pt idx="45">
                  <c:v>42312.75</c:v>
                </c:pt>
                <c:pt idx="46">
                  <c:v>42313.75</c:v>
                </c:pt>
                <c:pt idx="47">
                  <c:v>42314.75</c:v>
                </c:pt>
                <c:pt idx="48">
                  <c:v>42317.75</c:v>
                </c:pt>
                <c:pt idx="49">
                  <c:v>42318.75</c:v>
                </c:pt>
                <c:pt idx="50">
                  <c:v>42319.75</c:v>
                </c:pt>
                <c:pt idx="51">
                  <c:v>42320.75</c:v>
                </c:pt>
                <c:pt idx="52">
                  <c:v>42321.75</c:v>
                </c:pt>
                <c:pt idx="53">
                  <c:v>42324.75</c:v>
                </c:pt>
                <c:pt idx="54">
                  <c:v>42325.75</c:v>
                </c:pt>
                <c:pt idx="55">
                  <c:v>42326.75</c:v>
                </c:pt>
                <c:pt idx="56">
                  <c:v>42327.75</c:v>
                </c:pt>
                <c:pt idx="57">
                  <c:v>42328.75</c:v>
                </c:pt>
                <c:pt idx="58">
                  <c:v>42331.75</c:v>
                </c:pt>
                <c:pt idx="59">
                  <c:v>42332.75</c:v>
                </c:pt>
                <c:pt idx="60">
                  <c:v>42333.75</c:v>
                </c:pt>
                <c:pt idx="61">
                  <c:v>42334.75</c:v>
                </c:pt>
                <c:pt idx="62">
                  <c:v>42335.75</c:v>
                </c:pt>
                <c:pt idx="63">
                  <c:v>42338.75</c:v>
                </c:pt>
                <c:pt idx="64">
                  <c:v>42340.75</c:v>
                </c:pt>
                <c:pt idx="65">
                  <c:v>42341.75</c:v>
                </c:pt>
                <c:pt idx="66">
                  <c:v>42342.75</c:v>
                </c:pt>
                <c:pt idx="67">
                  <c:v>42345.75</c:v>
                </c:pt>
                <c:pt idx="68">
                  <c:v>42346.75</c:v>
                </c:pt>
                <c:pt idx="69">
                  <c:v>42347.75</c:v>
                </c:pt>
                <c:pt idx="70">
                  <c:v>42348.75</c:v>
                </c:pt>
                <c:pt idx="71">
                  <c:v>42349.75</c:v>
                </c:pt>
                <c:pt idx="72">
                  <c:v>42352.75</c:v>
                </c:pt>
                <c:pt idx="73">
                  <c:v>42353.75</c:v>
                </c:pt>
                <c:pt idx="74">
                  <c:v>42356.75</c:v>
                </c:pt>
                <c:pt idx="75">
                  <c:v>42359.75</c:v>
                </c:pt>
                <c:pt idx="76">
                  <c:v>42360.75</c:v>
                </c:pt>
                <c:pt idx="77">
                  <c:v>42361.75</c:v>
                </c:pt>
                <c:pt idx="78">
                  <c:v>42362.75</c:v>
                </c:pt>
                <c:pt idx="79">
                  <c:v>42363.75</c:v>
                </c:pt>
                <c:pt idx="80">
                  <c:v>42366.75</c:v>
                </c:pt>
                <c:pt idx="81">
                  <c:v>42367.75</c:v>
                </c:pt>
                <c:pt idx="82">
                  <c:v>42368.75</c:v>
                </c:pt>
                <c:pt idx="83">
                  <c:v>42369.75</c:v>
                </c:pt>
                <c:pt idx="84">
                  <c:v>42374.75</c:v>
                </c:pt>
                <c:pt idx="85">
                  <c:v>42375.75</c:v>
                </c:pt>
                <c:pt idx="86">
                  <c:v>42377.75</c:v>
                </c:pt>
                <c:pt idx="87">
                  <c:v>42380.75</c:v>
                </c:pt>
                <c:pt idx="88">
                  <c:v>42381.75</c:v>
                </c:pt>
                <c:pt idx="89">
                  <c:v>42382.75</c:v>
                </c:pt>
                <c:pt idx="90">
                  <c:v>42383.75</c:v>
                </c:pt>
                <c:pt idx="91">
                  <c:v>42384.75</c:v>
                </c:pt>
                <c:pt idx="92">
                  <c:v>42387</c:v>
                </c:pt>
                <c:pt idx="93">
                  <c:v>42388</c:v>
                </c:pt>
                <c:pt idx="94">
                  <c:v>42389</c:v>
                </c:pt>
                <c:pt idx="95">
                  <c:v>42390</c:v>
                </c:pt>
                <c:pt idx="96">
                  <c:v>42391</c:v>
                </c:pt>
                <c:pt idx="97">
                  <c:v>42394</c:v>
                </c:pt>
                <c:pt idx="98">
                  <c:v>42395</c:v>
                </c:pt>
                <c:pt idx="99">
                  <c:v>42396</c:v>
                </c:pt>
                <c:pt idx="100">
                  <c:v>42397</c:v>
                </c:pt>
                <c:pt idx="101">
                  <c:v>42398</c:v>
                </c:pt>
                <c:pt idx="102">
                  <c:v>42401.75</c:v>
                </c:pt>
                <c:pt idx="103">
                  <c:v>42402.75</c:v>
                </c:pt>
                <c:pt idx="104">
                  <c:v>42403.75</c:v>
                </c:pt>
                <c:pt idx="105">
                  <c:v>42404.75</c:v>
                </c:pt>
                <c:pt idx="106">
                  <c:v>42405.75</c:v>
                </c:pt>
                <c:pt idx="107">
                  <c:v>42408.75</c:v>
                </c:pt>
                <c:pt idx="108">
                  <c:v>42409.75</c:v>
                </c:pt>
                <c:pt idx="109">
                  <c:v>42410.75</c:v>
                </c:pt>
                <c:pt idx="110">
                  <c:v>42411.75</c:v>
                </c:pt>
                <c:pt idx="111">
                  <c:v>42412.75</c:v>
                </c:pt>
                <c:pt idx="112">
                  <c:v>42415.75</c:v>
                </c:pt>
                <c:pt idx="113">
                  <c:v>42416.75</c:v>
                </c:pt>
                <c:pt idx="114">
                  <c:v>42417.75</c:v>
                </c:pt>
                <c:pt idx="115">
                  <c:v>42418.75</c:v>
                </c:pt>
                <c:pt idx="116">
                  <c:v>42419.75</c:v>
                </c:pt>
                <c:pt idx="117">
                  <c:v>42422.75</c:v>
                </c:pt>
                <c:pt idx="118">
                  <c:v>42423.75</c:v>
                </c:pt>
                <c:pt idx="119">
                  <c:v>42424.75</c:v>
                </c:pt>
                <c:pt idx="120">
                  <c:v>42425.75</c:v>
                </c:pt>
                <c:pt idx="121">
                  <c:v>42426.75</c:v>
                </c:pt>
                <c:pt idx="122">
                  <c:v>42429.75</c:v>
                </c:pt>
                <c:pt idx="123">
                  <c:v>42430.75</c:v>
                </c:pt>
                <c:pt idx="124">
                  <c:v>42431.75</c:v>
                </c:pt>
                <c:pt idx="125">
                  <c:v>42432.75</c:v>
                </c:pt>
                <c:pt idx="126">
                  <c:v>42433.75</c:v>
                </c:pt>
                <c:pt idx="127">
                  <c:v>42434.75</c:v>
                </c:pt>
                <c:pt idx="128">
                  <c:v>42438.75</c:v>
                </c:pt>
                <c:pt idx="129">
                  <c:v>42439.75</c:v>
                </c:pt>
                <c:pt idx="130">
                  <c:v>42440.75</c:v>
                </c:pt>
                <c:pt idx="131">
                  <c:v>42443.75</c:v>
                </c:pt>
                <c:pt idx="132">
                  <c:v>42444.75</c:v>
                </c:pt>
                <c:pt idx="133">
                  <c:v>42445.75</c:v>
                </c:pt>
                <c:pt idx="134">
                  <c:v>42446.75</c:v>
                </c:pt>
                <c:pt idx="135">
                  <c:v>42447.75</c:v>
                </c:pt>
                <c:pt idx="136">
                  <c:v>42453.75</c:v>
                </c:pt>
                <c:pt idx="137">
                  <c:v>42454.75</c:v>
                </c:pt>
                <c:pt idx="138">
                  <c:v>42457.75</c:v>
                </c:pt>
                <c:pt idx="139">
                  <c:v>42458.75</c:v>
                </c:pt>
                <c:pt idx="140">
                  <c:v>42459.75</c:v>
                </c:pt>
                <c:pt idx="141">
                  <c:v>42460.75</c:v>
                </c:pt>
                <c:pt idx="142">
                  <c:v>42461.75</c:v>
                </c:pt>
                <c:pt idx="143">
                  <c:v>42464.75</c:v>
                </c:pt>
                <c:pt idx="144">
                  <c:v>42465.75</c:v>
                </c:pt>
                <c:pt idx="145">
                  <c:v>42466.75</c:v>
                </c:pt>
                <c:pt idx="146">
                  <c:v>42467.75</c:v>
                </c:pt>
                <c:pt idx="147">
                  <c:v>42468.75</c:v>
                </c:pt>
                <c:pt idx="148">
                  <c:v>42471.75</c:v>
                </c:pt>
                <c:pt idx="149">
                  <c:v>42472.75</c:v>
                </c:pt>
                <c:pt idx="150">
                  <c:v>42473.75</c:v>
                </c:pt>
                <c:pt idx="151">
                  <c:v>42474.75</c:v>
                </c:pt>
                <c:pt idx="152">
                  <c:v>42475.75</c:v>
                </c:pt>
                <c:pt idx="153">
                  <c:v>42478.75</c:v>
                </c:pt>
                <c:pt idx="154">
                  <c:v>42479.75</c:v>
                </c:pt>
                <c:pt idx="155">
                  <c:v>42480.75</c:v>
                </c:pt>
                <c:pt idx="156">
                  <c:v>42481.75</c:v>
                </c:pt>
                <c:pt idx="157">
                  <c:v>42482.75</c:v>
                </c:pt>
                <c:pt idx="158">
                  <c:v>42485.75</c:v>
                </c:pt>
                <c:pt idx="159">
                  <c:v>42486.75</c:v>
                </c:pt>
                <c:pt idx="160">
                  <c:v>42487.75</c:v>
                </c:pt>
                <c:pt idx="161">
                  <c:v>42488.75</c:v>
                </c:pt>
                <c:pt idx="162">
                  <c:v>42489.75</c:v>
                </c:pt>
                <c:pt idx="163">
                  <c:v>42493.75</c:v>
                </c:pt>
                <c:pt idx="164">
                  <c:v>42494.75</c:v>
                </c:pt>
                <c:pt idx="165">
                  <c:v>42495.75</c:v>
                </c:pt>
                <c:pt idx="166">
                  <c:v>42496.75</c:v>
                </c:pt>
                <c:pt idx="167">
                  <c:v>42501.75</c:v>
                </c:pt>
                <c:pt idx="168">
                  <c:v>42502.75</c:v>
                </c:pt>
                <c:pt idx="169">
                  <c:v>42503.75</c:v>
                </c:pt>
                <c:pt idx="170">
                  <c:v>42506.75</c:v>
                </c:pt>
                <c:pt idx="171">
                  <c:v>42507.75</c:v>
                </c:pt>
                <c:pt idx="172">
                  <c:v>42508.75</c:v>
                </c:pt>
                <c:pt idx="173">
                  <c:v>42509.75</c:v>
                </c:pt>
                <c:pt idx="174">
                  <c:v>42510.75</c:v>
                </c:pt>
                <c:pt idx="175">
                  <c:v>42513.75</c:v>
                </c:pt>
                <c:pt idx="176">
                  <c:v>42514.75</c:v>
                </c:pt>
                <c:pt idx="177">
                  <c:v>42515.75</c:v>
                </c:pt>
                <c:pt idx="178">
                  <c:v>42516.75</c:v>
                </c:pt>
                <c:pt idx="179">
                  <c:v>42517.75</c:v>
                </c:pt>
                <c:pt idx="180">
                  <c:v>42520.75</c:v>
                </c:pt>
                <c:pt idx="181">
                  <c:v>42521.75</c:v>
                </c:pt>
                <c:pt idx="182">
                  <c:v>42522.75</c:v>
                </c:pt>
                <c:pt idx="183">
                  <c:v>42523.75</c:v>
                </c:pt>
                <c:pt idx="184">
                  <c:v>42524.75</c:v>
                </c:pt>
                <c:pt idx="185">
                  <c:v>42527.75</c:v>
                </c:pt>
                <c:pt idx="186">
                  <c:v>42528.75</c:v>
                </c:pt>
                <c:pt idx="187">
                  <c:v>42529.75</c:v>
                </c:pt>
                <c:pt idx="188">
                  <c:v>42530.75</c:v>
                </c:pt>
                <c:pt idx="189">
                  <c:v>42531.75</c:v>
                </c:pt>
                <c:pt idx="190">
                  <c:v>42534.75</c:v>
                </c:pt>
                <c:pt idx="191">
                  <c:v>42535.75</c:v>
                </c:pt>
                <c:pt idx="192">
                  <c:v>42536.75</c:v>
                </c:pt>
                <c:pt idx="193">
                  <c:v>42537.75</c:v>
                </c:pt>
                <c:pt idx="194">
                  <c:v>42538.75</c:v>
                </c:pt>
                <c:pt idx="195">
                  <c:v>42541.75</c:v>
                </c:pt>
                <c:pt idx="196">
                  <c:v>42542.75</c:v>
                </c:pt>
                <c:pt idx="197">
                  <c:v>42543.75</c:v>
                </c:pt>
                <c:pt idx="198">
                  <c:v>42544.75</c:v>
                </c:pt>
                <c:pt idx="199">
                  <c:v>42545.75</c:v>
                </c:pt>
                <c:pt idx="200">
                  <c:v>42548.75</c:v>
                </c:pt>
                <c:pt idx="201">
                  <c:v>42549.75</c:v>
                </c:pt>
                <c:pt idx="202">
                  <c:v>42550.75</c:v>
                </c:pt>
                <c:pt idx="203">
                  <c:v>42551.75</c:v>
                </c:pt>
                <c:pt idx="204">
                  <c:v>42552.75</c:v>
                </c:pt>
                <c:pt idx="205">
                  <c:v>42555.75</c:v>
                </c:pt>
                <c:pt idx="206">
                  <c:v>42556.75</c:v>
                </c:pt>
                <c:pt idx="207">
                  <c:v>42558.75</c:v>
                </c:pt>
                <c:pt idx="208">
                  <c:v>42559.75</c:v>
                </c:pt>
                <c:pt idx="209">
                  <c:v>42562.75</c:v>
                </c:pt>
                <c:pt idx="210">
                  <c:v>42563.75</c:v>
                </c:pt>
                <c:pt idx="211">
                  <c:v>42564.75</c:v>
                </c:pt>
                <c:pt idx="212">
                  <c:v>42565.75</c:v>
                </c:pt>
                <c:pt idx="213">
                  <c:v>42566.75</c:v>
                </c:pt>
                <c:pt idx="214">
                  <c:v>42569.75</c:v>
                </c:pt>
                <c:pt idx="215">
                  <c:v>42570.75</c:v>
                </c:pt>
                <c:pt idx="216">
                  <c:v>42571.75</c:v>
                </c:pt>
                <c:pt idx="217">
                  <c:v>42572.75</c:v>
                </c:pt>
                <c:pt idx="218">
                  <c:v>42573.75</c:v>
                </c:pt>
                <c:pt idx="219">
                  <c:v>42576.75</c:v>
                </c:pt>
                <c:pt idx="220">
                  <c:v>42577.75</c:v>
                </c:pt>
                <c:pt idx="221">
                  <c:v>42578.75</c:v>
                </c:pt>
                <c:pt idx="222">
                  <c:v>42579.75</c:v>
                </c:pt>
                <c:pt idx="223">
                  <c:v>42580.75</c:v>
                </c:pt>
                <c:pt idx="224">
                  <c:v>42583.75</c:v>
                </c:pt>
                <c:pt idx="225">
                  <c:v>42584.75</c:v>
                </c:pt>
                <c:pt idx="226">
                  <c:v>42585.75</c:v>
                </c:pt>
                <c:pt idx="227">
                  <c:v>42586.75</c:v>
                </c:pt>
                <c:pt idx="228">
                  <c:v>42587.75</c:v>
                </c:pt>
                <c:pt idx="229">
                  <c:v>42590.75</c:v>
                </c:pt>
                <c:pt idx="230">
                  <c:v>42591.75</c:v>
                </c:pt>
                <c:pt idx="231">
                  <c:v>42592.75</c:v>
                </c:pt>
                <c:pt idx="232">
                  <c:v>42593.75</c:v>
                </c:pt>
                <c:pt idx="233">
                  <c:v>42594.75</c:v>
                </c:pt>
                <c:pt idx="234">
                  <c:v>42597.75</c:v>
                </c:pt>
                <c:pt idx="235">
                  <c:v>42598.75</c:v>
                </c:pt>
                <c:pt idx="236">
                  <c:v>42599.75</c:v>
                </c:pt>
                <c:pt idx="237">
                  <c:v>42600.75</c:v>
                </c:pt>
                <c:pt idx="238">
                  <c:v>42601.75</c:v>
                </c:pt>
                <c:pt idx="239">
                  <c:v>42604.75</c:v>
                </c:pt>
                <c:pt idx="240">
                  <c:v>42605.75</c:v>
                </c:pt>
                <c:pt idx="241">
                  <c:v>42606.75</c:v>
                </c:pt>
                <c:pt idx="242">
                  <c:v>42607.75</c:v>
                </c:pt>
                <c:pt idx="243">
                  <c:v>42608.75</c:v>
                </c:pt>
                <c:pt idx="244">
                  <c:v>42611.75</c:v>
                </c:pt>
                <c:pt idx="245">
                  <c:v>42613.75</c:v>
                </c:pt>
                <c:pt idx="246">
                  <c:v>42614.75</c:v>
                </c:pt>
                <c:pt idx="247">
                  <c:v>42615.75</c:v>
                </c:pt>
                <c:pt idx="248">
                  <c:v>42618.75</c:v>
                </c:pt>
                <c:pt idx="249">
                  <c:v>42619.75</c:v>
                </c:pt>
                <c:pt idx="250">
                  <c:v>42620.75</c:v>
                </c:pt>
                <c:pt idx="251">
                  <c:v>42621.75</c:v>
                </c:pt>
                <c:pt idx="252">
                  <c:v>42622.75</c:v>
                </c:pt>
                <c:pt idx="253">
                  <c:v>42626.75</c:v>
                </c:pt>
                <c:pt idx="254">
                  <c:v>42627.75</c:v>
                </c:pt>
                <c:pt idx="255">
                  <c:v>42628.75</c:v>
                </c:pt>
                <c:pt idx="256">
                  <c:v>42629.75</c:v>
                </c:pt>
                <c:pt idx="257">
                  <c:v>42632.75</c:v>
                </c:pt>
                <c:pt idx="258">
                  <c:v>42633.75</c:v>
                </c:pt>
                <c:pt idx="259">
                  <c:v>42634.75</c:v>
                </c:pt>
                <c:pt idx="260">
                  <c:v>42635.75</c:v>
                </c:pt>
                <c:pt idx="261">
                  <c:v>42636.75</c:v>
                </c:pt>
                <c:pt idx="262">
                  <c:v>42639.75</c:v>
                </c:pt>
                <c:pt idx="263">
                  <c:v>42640.75</c:v>
                </c:pt>
                <c:pt idx="264">
                  <c:v>42641.75</c:v>
                </c:pt>
                <c:pt idx="265">
                  <c:v>42642.75</c:v>
                </c:pt>
                <c:pt idx="266">
                  <c:v>42643.75</c:v>
                </c:pt>
                <c:pt idx="267">
                  <c:v>42646.75</c:v>
                </c:pt>
                <c:pt idx="268">
                  <c:v>42647.75</c:v>
                </c:pt>
                <c:pt idx="269">
                  <c:v>42648.75</c:v>
                </c:pt>
                <c:pt idx="270">
                  <c:v>42649.75</c:v>
                </c:pt>
                <c:pt idx="271">
                  <c:v>42650.75</c:v>
                </c:pt>
                <c:pt idx="272">
                  <c:v>42653.75</c:v>
                </c:pt>
                <c:pt idx="273">
                  <c:v>42654.75</c:v>
                </c:pt>
                <c:pt idx="274">
                  <c:v>42655.75</c:v>
                </c:pt>
                <c:pt idx="275">
                  <c:v>42656.75</c:v>
                </c:pt>
                <c:pt idx="276">
                  <c:v>42657.75</c:v>
                </c:pt>
                <c:pt idx="277">
                  <c:v>42660.75</c:v>
                </c:pt>
                <c:pt idx="278">
                  <c:v>42661.75</c:v>
                </c:pt>
                <c:pt idx="279">
                  <c:v>42662.75</c:v>
                </c:pt>
                <c:pt idx="280">
                  <c:v>42663.75</c:v>
                </c:pt>
                <c:pt idx="281">
                  <c:v>42664.75</c:v>
                </c:pt>
                <c:pt idx="282">
                  <c:v>42667.75</c:v>
                </c:pt>
                <c:pt idx="283">
                  <c:v>42668.75</c:v>
                </c:pt>
                <c:pt idx="284">
                  <c:v>42669.75</c:v>
                </c:pt>
                <c:pt idx="285">
                  <c:v>42670.75</c:v>
                </c:pt>
                <c:pt idx="286">
                  <c:v>42671.75</c:v>
                </c:pt>
                <c:pt idx="287">
                  <c:v>42674.75</c:v>
                </c:pt>
                <c:pt idx="288">
                  <c:v>42675.75</c:v>
                </c:pt>
                <c:pt idx="289">
                  <c:v>42676.75</c:v>
                </c:pt>
                <c:pt idx="290">
                  <c:v>42677.75</c:v>
                </c:pt>
                <c:pt idx="291">
                  <c:v>42678.75</c:v>
                </c:pt>
                <c:pt idx="292">
                  <c:v>42681.75</c:v>
                </c:pt>
                <c:pt idx="293">
                  <c:v>42682.75</c:v>
                </c:pt>
                <c:pt idx="294">
                  <c:v>42683.75</c:v>
                </c:pt>
                <c:pt idx="295">
                  <c:v>42684.75</c:v>
                </c:pt>
                <c:pt idx="296">
                  <c:v>42685.75</c:v>
                </c:pt>
                <c:pt idx="297">
                  <c:v>42688.75</c:v>
                </c:pt>
                <c:pt idx="298">
                  <c:v>42689.75</c:v>
                </c:pt>
                <c:pt idx="299">
                  <c:v>42690.75</c:v>
                </c:pt>
                <c:pt idx="300">
                  <c:v>42691.75</c:v>
                </c:pt>
                <c:pt idx="301">
                  <c:v>42692.75</c:v>
                </c:pt>
                <c:pt idx="302">
                  <c:v>42695.75</c:v>
                </c:pt>
                <c:pt idx="303">
                  <c:v>42696.75</c:v>
                </c:pt>
                <c:pt idx="304">
                  <c:v>42697.75</c:v>
                </c:pt>
                <c:pt idx="305">
                  <c:v>42698.75</c:v>
                </c:pt>
                <c:pt idx="306">
                  <c:v>42699.75</c:v>
                </c:pt>
                <c:pt idx="307">
                  <c:v>42702.75</c:v>
                </c:pt>
                <c:pt idx="308">
                  <c:v>42703.75</c:v>
                </c:pt>
                <c:pt idx="309">
                  <c:v>42704.75</c:v>
                </c:pt>
                <c:pt idx="310">
                  <c:v>42706.75</c:v>
                </c:pt>
                <c:pt idx="311">
                  <c:v>42709.75</c:v>
                </c:pt>
                <c:pt idx="312">
                  <c:v>42710.75</c:v>
                </c:pt>
                <c:pt idx="313">
                  <c:v>42711.75</c:v>
                </c:pt>
                <c:pt idx="314">
                  <c:v>42712.75</c:v>
                </c:pt>
                <c:pt idx="315">
                  <c:v>42713.75</c:v>
                </c:pt>
                <c:pt idx="316">
                  <c:v>42716.75</c:v>
                </c:pt>
                <c:pt idx="317">
                  <c:v>42717.75</c:v>
                </c:pt>
                <c:pt idx="318">
                  <c:v>42718.75</c:v>
                </c:pt>
                <c:pt idx="319">
                  <c:v>42719.75</c:v>
                </c:pt>
                <c:pt idx="320">
                  <c:v>42724.75</c:v>
                </c:pt>
                <c:pt idx="321">
                  <c:v>42725.75</c:v>
                </c:pt>
                <c:pt idx="322">
                  <c:v>42726.75</c:v>
                </c:pt>
                <c:pt idx="323">
                  <c:v>42727.75</c:v>
                </c:pt>
                <c:pt idx="324">
                  <c:v>42730.75</c:v>
                </c:pt>
                <c:pt idx="325">
                  <c:v>42731.75</c:v>
                </c:pt>
                <c:pt idx="326">
                  <c:v>42732.75</c:v>
                </c:pt>
                <c:pt idx="327">
                  <c:v>42733.75</c:v>
                </c:pt>
                <c:pt idx="328">
                  <c:v>42734.75</c:v>
                </c:pt>
                <c:pt idx="329">
                  <c:v>42739.75</c:v>
                </c:pt>
                <c:pt idx="330">
                  <c:v>42740.75</c:v>
                </c:pt>
                <c:pt idx="331">
                  <c:v>42741.75</c:v>
                </c:pt>
                <c:pt idx="332">
                  <c:v>42744.75</c:v>
                </c:pt>
                <c:pt idx="333">
                  <c:v>42745.75</c:v>
                </c:pt>
                <c:pt idx="334">
                  <c:v>42746.75</c:v>
                </c:pt>
                <c:pt idx="335">
                  <c:v>42747.75</c:v>
                </c:pt>
                <c:pt idx="336">
                  <c:v>42748.75</c:v>
                </c:pt>
                <c:pt idx="337">
                  <c:v>42751.75</c:v>
                </c:pt>
                <c:pt idx="338">
                  <c:v>42752.75</c:v>
                </c:pt>
                <c:pt idx="339">
                  <c:v>42753.75</c:v>
                </c:pt>
                <c:pt idx="340">
                  <c:v>42754.75</c:v>
                </c:pt>
                <c:pt idx="341">
                  <c:v>42755.75</c:v>
                </c:pt>
                <c:pt idx="342">
                  <c:v>42758.75</c:v>
                </c:pt>
                <c:pt idx="343">
                  <c:v>42759.75</c:v>
                </c:pt>
                <c:pt idx="344">
                  <c:v>42760.75</c:v>
                </c:pt>
                <c:pt idx="345">
                  <c:v>42761.75</c:v>
                </c:pt>
                <c:pt idx="346">
                  <c:v>42762.75</c:v>
                </c:pt>
                <c:pt idx="347">
                  <c:v>42765.75</c:v>
                </c:pt>
                <c:pt idx="348">
                  <c:v>42766.75</c:v>
                </c:pt>
                <c:pt idx="349">
                  <c:v>42767.75</c:v>
                </c:pt>
                <c:pt idx="350">
                  <c:v>42768.75</c:v>
                </c:pt>
                <c:pt idx="351">
                  <c:v>42769.75</c:v>
                </c:pt>
                <c:pt idx="352">
                  <c:v>42772.75</c:v>
                </c:pt>
                <c:pt idx="353">
                  <c:v>42773.75</c:v>
                </c:pt>
                <c:pt idx="354">
                  <c:v>42774.75</c:v>
                </c:pt>
                <c:pt idx="355">
                  <c:v>42775.75</c:v>
                </c:pt>
                <c:pt idx="356">
                  <c:v>42776.75</c:v>
                </c:pt>
                <c:pt idx="357">
                  <c:v>42779.75</c:v>
                </c:pt>
                <c:pt idx="358">
                  <c:v>42780.75</c:v>
                </c:pt>
                <c:pt idx="359">
                  <c:v>42781.75</c:v>
                </c:pt>
                <c:pt idx="360">
                  <c:v>42782.75</c:v>
                </c:pt>
                <c:pt idx="361">
                  <c:v>42783.75</c:v>
                </c:pt>
                <c:pt idx="362">
                  <c:v>42786.75</c:v>
                </c:pt>
                <c:pt idx="363">
                  <c:v>42787.75</c:v>
                </c:pt>
                <c:pt idx="364">
                  <c:v>42788.75</c:v>
                </c:pt>
                <c:pt idx="365">
                  <c:v>42789.75</c:v>
                </c:pt>
                <c:pt idx="366">
                  <c:v>42790.75</c:v>
                </c:pt>
                <c:pt idx="367">
                  <c:v>42793.75</c:v>
                </c:pt>
                <c:pt idx="368">
                  <c:v>42794.75</c:v>
                </c:pt>
                <c:pt idx="369">
                  <c:v>42795.75</c:v>
                </c:pt>
                <c:pt idx="370">
                  <c:v>42796.75</c:v>
                </c:pt>
                <c:pt idx="371">
                  <c:v>42797.75</c:v>
                </c:pt>
                <c:pt idx="372">
                  <c:v>42800.75</c:v>
                </c:pt>
                <c:pt idx="373">
                  <c:v>42801.75</c:v>
                </c:pt>
                <c:pt idx="374">
                  <c:v>42803.75</c:v>
                </c:pt>
                <c:pt idx="375">
                  <c:v>42804.75</c:v>
                </c:pt>
                <c:pt idx="376">
                  <c:v>42807.75</c:v>
                </c:pt>
                <c:pt idx="377">
                  <c:v>42808.75</c:v>
                </c:pt>
                <c:pt idx="378">
                  <c:v>42809.75</c:v>
                </c:pt>
                <c:pt idx="379">
                  <c:v>42810.75</c:v>
                </c:pt>
                <c:pt idx="380">
                  <c:v>42811.75</c:v>
                </c:pt>
                <c:pt idx="381">
                  <c:v>42812.75</c:v>
                </c:pt>
                <c:pt idx="382">
                  <c:v>42818.75</c:v>
                </c:pt>
                <c:pt idx="383">
                  <c:v>42821.75</c:v>
                </c:pt>
                <c:pt idx="384">
                  <c:v>42822.75</c:v>
                </c:pt>
                <c:pt idx="385">
                  <c:v>42823.75</c:v>
                </c:pt>
                <c:pt idx="386">
                  <c:v>42824.75</c:v>
                </c:pt>
                <c:pt idx="387">
                  <c:v>42825.75</c:v>
                </c:pt>
                <c:pt idx="388">
                  <c:v>42828</c:v>
                </c:pt>
                <c:pt idx="389">
                  <c:v>42829</c:v>
                </c:pt>
                <c:pt idx="390">
                  <c:v>42830</c:v>
                </c:pt>
                <c:pt idx="391">
                  <c:v>42831</c:v>
                </c:pt>
                <c:pt idx="392">
                  <c:v>42832</c:v>
                </c:pt>
                <c:pt idx="393">
                  <c:v>42835</c:v>
                </c:pt>
                <c:pt idx="394">
                  <c:v>42836</c:v>
                </c:pt>
                <c:pt idx="395">
                  <c:v>42837</c:v>
                </c:pt>
                <c:pt idx="396">
                  <c:v>42838</c:v>
                </c:pt>
                <c:pt idx="397">
                  <c:v>42839</c:v>
                </c:pt>
                <c:pt idx="398">
                  <c:v>42842</c:v>
                </c:pt>
                <c:pt idx="399">
                  <c:v>42843</c:v>
                </c:pt>
                <c:pt idx="400">
                  <c:v>42844</c:v>
                </c:pt>
                <c:pt idx="401">
                  <c:v>42845</c:v>
                </c:pt>
                <c:pt idx="402">
                  <c:v>42846</c:v>
                </c:pt>
                <c:pt idx="403">
                  <c:v>42849</c:v>
                </c:pt>
                <c:pt idx="404">
                  <c:v>42850</c:v>
                </c:pt>
                <c:pt idx="405">
                  <c:v>42851</c:v>
                </c:pt>
                <c:pt idx="406">
                  <c:v>42852</c:v>
                </c:pt>
                <c:pt idx="407">
                  <c:v>42853.75</c:v>
                </c:pt>
                <c:pt idx="408">
                  <c:v>42857.75</c:v>
                </c:pt>
                <c:pt idx="409">
                  <c:v>42858.75</c:v>
                </c:pt>
                <c:pt idx="410">
                  <c:v>42859.75</c:v>
                </c:pt>
                <c:pt idx="411">
                  <c:v>42860.75</c:v>
                </c:pt>
                <c:pt idx="412">
                  <c:v>42865.75</c:v>
                </c:pt>
                <c:pt idx="413">
                  <c:v>42866.75</c:v>
                </c:pt>
                <c:pt idx="414">
                  <c:v>42867.75</c:v>
                </c:pt>
                <c:pt idx="415">
                  <c:v>42870.75</c:v>
                </c:pt>
                <c:pt idx="416">
                  <c:v>42871.75</c:v>
                </c:pt>
                <c:pt idx="417">
                  <c:v>42872.75</c:v>
                </c:pt>
                <c:pt idx="418">
                  <c:v>42873.75</c:v>
                </c:pt>
                <c:pt idx="419">
                  <c:v>42874.75</c:v>
                </c:pt>
                <c:pt idx="420">
                  <c:v>42877.75</c:v>
                </c:pt>
                <c:pt idx="421">
                  <c:v>42878.75</c:v>
                </c:pt>
                <c:pt idx="422">
                  <c:v>42879.75</c:v>
                </c:pt>
                <c:pt idx="423">
                  <c:v>42880.75</c:v>
                </c:pt>
                <c:pt idx="424">
                  <c:v>42881.75</c:v>
                </c:pt>
                <c:pt idx="425">
                  <c:v>42884.75</c:v>
                </c:pt>
                <c:pt idx="426">
                  <c:v>42885.75</c:v>
                </c:pt>
                <c:pt idx="427">
                  <c:v>42886.75</c:v>
                </c:pt>
                <c:pt idx="428">
                  <c:v>42887.75</c:v>
                </c:pt>
                <c:pt idx="429">
                  <c:v>42888.75</c:v>
                </c:pt>
                <c:pt idx="430">
                  <c:v>42891.75</c:v>
                </c:pt>
                <c:pt idx="431">
                  <c:v>42892.75</c:v>
                </c:pt>
                <c:pt idx="432">
                  <c:v>42893.75</c:v>
                </c:pt>
                <c:pt idx="433">
                  <c:v>42894.75</c:v>
                </c:pt>
                <c:pt idx="434">
                  <c:v>42895.75</c:v>
                </c:pt>
                <c:pt idx="435">
                  <c:v>42898.75</c:v>
                </c:pt>
                <c:pt idx="436">
                  <c:v>42899.75</c:v>
                </c:pt>
                <c:pt idx="437">
                  <c:v>42900.75</c:v>
                </c:pt>
                <c:pt idx="438">
                  <c:v>42901.75</c:v>
                </c:pt>
                <c:pt idx="439">
                  <c:v>42902.75</c:v>
                </c:pt>
                <c:pt idx="440">
                  <c:v>42905.75</c:v>
                </c:pt>
                <c:pt idx="441">
                  <c:v>42906.75</c:v>
                </c:pt>
                <c:pt idx="442">
                  <c:v>42907.75</c:v>
                </c:pt>
                <c:pt idx="443">
                  <c:v>42908.75</c:v>
                </c:pt>
                <c:pt idx="444">
                  <c:v>42909.75</c:v>
                </c:pt>
                <c:pt idx="445">
                  <c:v>42912.75</c:v>
                </c:pt>
                <c:pt idx="446">
                  <c:v>42913.75</c:v>
                </c:pt>
                <c:pt idx="447">
                  <c:v>42914.75</c:v>
                </c:pt>
                <c:pt idx="448">
                  <c:v>42915.75</c:v>
                </c:pt>
                <c:pt idx="449">
                  <c:v>42916.75</c:v>
                </c:pt>
                <c:pt idx="450">
                  <c:v>42917.75</c:v>
                </c:pt>
                <c:pt idx="451">
                  <c:v>42919.75</c:v>
                </c:pt>
                <c:pt idx="452">
                  <c:v>42920.75</c:v>
                </c:pt>
                <c:pt idx="453">
                  <c:v>42921.75</c:v>
                </c:pt>
                <c:pt idx="454">
                  <c:v>42926.75</c:v>
                </c:pt>
                <c:pt idx="455">
                  <c:v>42927.75</c:v>
                </c:pt>
                <c:pt idx="456">
                  <c:v>42928.75</c:v>
                </c:pt>
                <c:pt idx="457">
                  <c:v>42929.75</c:v>
                </c:pt>
                <c:pt idx="458">
                  <c:v>42930.75</c:v>
                </c:pt>
                <c:pt idx="459">
                  <c:v>42933.75</c:v>
                </c:pt>
                <c:pt idx="460">
                  <c:v>42934.75</c:v>
                </c:pt>
              </c:numCache>
            </c:numRef>
          </c:cat>
          <c:val>
            <c:numRef>
              <c:f>'TONIA 06.01.2017'!$G$3:$G$463</c:f>
              <c:numCache>
                <c:formatCode>General</c:formatCode>
                <c:ptCount val="461"/>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7</c:v>
                </c:pt>
                <c:pt idx="15">
                  <c:v>11.95</c:v>
                </c:pt>
                <c:pt idx="16">
                  <c:v>11.95</c:v>
                </c:pt>
                <c:pt idx="17">
                  <c:v>11.95</c:v>
                </c:pt>
                <c:pt idx="18">
                  <c:v>11.95</c:v>
                </c:pt>
                <c:pt idx="19">
                  <c:v>11.95</c:v>
                </c:pt>
                <c:pt idx="20">
                  <c:v>11.95</c:v>
                </c:pt>
                <c:pt idx="21">
                  <c:v>11.95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103">
                  <c:v>15</c:v>
                </c:pt>
                <c:pt idx="104">
                  <c:v>15</c:v>
                </c:pt>
                <c:pt idx="105">
                  <c:v>15</c:v>
                </c:pt>
                <c:pt idx="106">
                  <c:v>15</c:v>
                </c:pt>
                <c:pt idx="107">
                  <c:v>15</c:v>
                </c:pt>
                <c:pt idx="108">
                  <c:v>15</c:v>
                </c:pt>
                <c:pt idx="109">
                  <c:v>15</c:v>
                </c:pt>
                <c:pt idx="110">
                  <c:v>15</c:v>
                </c:pt>
                <c:pt idx="111">
                  <c:v>15</c:v>
                </c:pt>
                <c:pt idx="112">
                  <c:v>15</c:v>
                </c:pt>
                <c:pt idx="113">
                  <c:v>15</c:v>
                </c:pt>
                <c:pt idx="114">
                  <c:v>15</c:v>
                </c:pt>
                <c:pt idx="115">
                  <c:v>15</c:v>
                </c:pt>
                <c:pt idx="116">
                  <c:v>15</c:v>
                </c:pt>
                <c:pt idx="117">
                  <c:v>15</c:v>
                </c:pt>
                <c:pt idx="118">
                  <c:v>15</c:v>
                </c:pt>
                <c:pt idx="119">
                  <c:v>15</c:v>
                </c:pt>
                <c:pt idx="120">
                  <c:v>15</c:v>
                </c:pt>
                <c:pt idx="121">
                  <c:v>15</c:v>
                </c:pt>
                <c:pt idx="122">
                  <c:v>15</c:v>
                </c:pt>
                <c:pt idx="123">
                  <c:v>15</c:v>
                </c:pt>
                <c:pt idx="124">
                  <c:v>15</c:v>
                </c:pt>
                <c:pt idx="125">
                  <c:v>15</c:v>
                </c:pt>
                <c:pt idx="126">
                  <c:v>15</c:v>
                </c:pt>
                <c:pt idx="127">
                  <c:v>15</c:v>
                </c:pt>
                <c:pt idx="128">
                  <c:v>15</c:v>
                </c:pt>
                <c:pt idx="129">
                  <c:v>15</c:v>
                </c:pt>
                <c:pt idx="130">
                  <c:v>15</c:v>
                </c:pt>
                <c:pt idx="131">
                  <c:v>15</c:v>
                </c:pt>
                <c:pt idx="132">
                  <c:v>15</c:v>
                </c:pt>
                <c:pt idx="133">
                  <c:v>15</c:v>
                </c:pt>
                <c:pt idx="134">
                  <c:v>15</c:v>
                </c:pt>
                <c:pt idx="135">
                  <c:v>15</c:v>
                </c:pt>
                <c:pt idx="136">
                  <c:v>15</c:v>
                </c:pt>
                <c:pt idx="137">
                  <c:v>15</c:v>
                </c:pt>
                <c:pt idx="138">
                  <c:v>15</c:v>
                </c:pt>
                <c:pt idx="139">
                  <c:v>15</c:v>
                </c:pt>
                <c:pt idx="140">
                  <c:v>15</c:v>
                </c:pt>
                <c:pt idx="141">
                  <c:v>15</c:v>
                </c:pt>
                <c:pt idx="142">
                  <c:v>15</c:v>
                </c:pt>
                <c:pt idx="143">
                  <c:v>15</c:v>
                </c:pt>
                <c:pt idx="144">
                  <c:v>15</c:v>
                </c:pt>
                <c:pt idx="145">
                  <c:v>15</c:v>
                </c:pt>
                <c:pt idx="146">
                  <c:v>15</c:v>
                </c:pt>
                <c:pt idx="147">
                  <c:v>15</c:v>
                </c:pt>
                <c:pt idx="148">
                  <c:v>15</c:v>
                </c:pt>
                <c:pt idx="149">
                  <c:v>15</c:v>
                </c:pt>
                <c:pt idx="150">
                  <c:v>15</c:v>
                </c:pt>
                <c:pt idx="151">
                  <c:v>15</c:v>
                </c:pt>
                <c:pt idx="152">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14</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14</c:v>
                </c:pt>
                <c:pt idx="180">
                  <c:v>14</c:v>
                </c:pt>
                <c:pt idx="181">
                  <c:v>14</c:v>
                </c:pt>
                <c:pt idx="182">
                  <c:v>14</c:v>
                </c:pt>
                <c:pt idx="183">
                  <c:v>14</c:v>
                </c:pt>
                <c:pt idx="184">
                  <c:v>14</c:v>
                </c:pt>
                <c:pt idx="185">
                  <c:v>14</c:v>
                </c:pt>
                <c:pt idx="186">
                  <c:v>14</c:v>
                </c:pt>
                <c:pt idx="187">
                  <c:v>14</c:v>
                </c:pt>
                <c:pt idx="188">
                  <c:v>14</c:v>
                </c:pt>
                <c:pt idx="189">
                  <c:v>14</c:v>
                </c:pt>
                <c:pt idx="190">
                  <c:v>14</c:v>
                </c:pt>
                <c:pt idx="191">
                  <c:v>14</c:v>
                </c:pt>
                <c:pt idx="192">
                  <c:v>14</c:v>
                </c:pt>
                <c:pt idx="193">
                  <c:v>14</c:v>
                </c:pt>
                <c:pt idx="194">
                  <c:v>14</c:v>
                </c:pt>
                <c:pt idx="195">
                  <c:v>14</c:v>
                </c:pt>
                <c:pt idx="196">
                  <c:v>14</c:v>
                </c:pt>
                <c:pt idx="197">
                  <c:v>14</c:v>
                </c:pt>
                <c:pt idx="198">
                  <c:v>14</c:v>
                </c:pt>
                <c:pt idx="199">
                  <c:v>14</c:v>
                </c:pt>
                <c:pt idx="200">
                  <c:v>14</c:v>
                </c:pt>
                <c:pt idx="201">
                  <c:v>14</c:v>
                </c:pt>
                <c:pt idx="202">
                  <c:v>14</c:v>
                </c:pt>
                <c:pt idx="203">
                  <c:v>14</c:v>
                </c:pt>
                <c:pt idx="204">
                  <c:v>14</c:v>
                </c:pt>
                <c:pt idx="205">
                  <c:v>14</c:v>
                </c:pt>
                <c:pt idx="206">
                  <c:v>14</c:v>
                </c:pt>
                <c:pt idx="207">
                  <c:v>14</c:v>
                </c:pt>
                <c:pt idx="208">
                  <c:v>14</c:v>
                </c:pt>
                <c:pt idx="209">
                  <c:v>12</c:v>
                </c:pt>
                <c:pt idx="210">
                  <c:v>12</c:v>
                </c:pt>
                <c:pt idx="211">
                  <c:v>12</c:v>
                </c:pt>
                <c:pt idx="212">
                  <c:v>12</c:v>
                </c:pt>
                <c:pt idx="213">
                  <c:v>12</c:v>
                </c:pt>
                <c:pt idx="214">
                  <c:v>12</c:v>
                </c:pt>
                <c:pt idx="215">
                  <c:v>12</c:v>
                </c:pt>
                <c:pt idx="216">
                  <c:v>12</c:v>
                </c:pt>
                <c:pt idx="217">
                  <c:v>12</c:v>
                </c:pt>
                <c:pt idx="218">
                  <c:v>12</c:v>
                </c:pt>
                <c:pt idx="219">
                  <c:v>12</c:v>
                </c:pt>
                <c:pt idx="220">
                  <c:v>12</c:v>
                </c:pt>
                <c:pt idx="221">
                  <c:v>12</c:v>
                </c:pt>
                <c:pt idx="222">
                  <c:v>12</c:v>
                </c:pt>
                <c:pt idx="223">
                  <c:v>12</c:v>
                </c:pt>
                <c:pt idx="224">
                  <c:v>12</c:v>
                </c:pt>
                <c:pt idx="225">
                  <c:v>12</c:v>
                </c:pt>
                <c:pt idx="226">
                  <c:v>12</c:v>
                </c:pt>
                <c:pt idx="227">
                  <c:v>12</c:v>
                </c:pt>
                <c:pt idx="228">
                  <c:v>12</c:v>
                </c:pt>
                <c:pt idx="229">
                  <c:v>12</c:v>
                </c:pt>
                <c:pt idx="230">
                  <c:v>12</c:v>
                </c:pt>
                <c:pt idx="231">
                  <c:v>12</c:v>
                </c:pt>
                <c:pt idx="232">
                  <c:v>12</c:v>
                </c:pt>
                <c:pt idx="233">
                  <c:v>12</c:v>
                </c:pt>
                <c:pt idx="234">
                  <c:v>12</c:v>
                </c:pt>
                <c:pt idx="235">
                  <c:v>12</c:v>
                </c:pt>
                <c:pt idx="236">
                  <c:v>12</c:v>
                </c:pt>
                <c:pt idx="237">
                  <c:v>12</c:v>
                </c:pt>
                <c:pt idx="238">
                  <c:v>12</c:v>
                </c:pt>
                <c:pt idx="239">
                  <c:v>12</c:v>
                </c:pt>
                <c:pt idx="240">
                  <c:v>12</c:v>
                </c:pt>
                <c:pt idx="241">
                  <c:v>12</c:v>
                </c:pt>
                <c:pt idx="242">
                  <c:v>12</c:v>
                </c:pt>
                <c:pt idx="243">
                  <c:v>12</c:v>
                </c:pt>
                <c:pt idx="244">
                  <c:v>12</c:v>
                </c:pt>
                <c:pt idx="245">
                  <c:v>12</c:v>
                </c:pt>
                <c:pt idx="246">
                  <c:v>12</c:v>
                </c:pt>
                <c:pt idx="247">
                  <c:v>12</c:v>
                </c:pt>
                <c:pt idx="248">
                  <c:v>12</c:v>
                </c:pt>
                <c:pt idx="249">
                  <c:v>12</c:v>
                </c:pt>
                <c:pt idx="250">
                  <c:v>12</c:v>
                </c:pt>
                <c:pt idx="251">
                  <c:v>12</c:v>
                </c:pt>
                <c:pt idx="252">
                  <c:v>12</c:v>
                </c:pt>
                <c:pt idx="253">
                  <c:v>12</c:v>
                </c:pt>
                <c:pt idx="254">
                  <c:v>12</c:v>
                </c:pt>
                <c:pt idx="255">
                  <c:v>12</c:v>
                </c:pt>
                <c:pt idx="256">
                  <c:v>12</c:v>
                </c:pt>
                <c:pt idx="257">
                  <c:v>12</c:v>
                </c:pt>
                <c:pt idx="258">
                  <c:v>12</c:v>
                </c:pt>
                <c:pt idx="259">
                  <c:v>12</c:v>
                </c:pt>
                <c:pt idx="260">
                  <c:v>12</c:v>
                </c:pt>
                <c:pt idx="261">
                  <c:v>12</c:v>
                </c:pt>
                <c:pt idx="262">
                  <c:v>12</c:v>
                </c:pt>
                <c:pt idx="263">
                  <c:v>12</c:v>
                </c:pt>
                <c:pt idx="264">
                  <c:v>12</c:v>
                </c:pt>
                <c:pt idx="265">
                  <c:v>12</c:v>
                </c:pt>
                <c:pt idx="266">
                  <c:v>12</c:v>
                </c:pt>
                <c:pt idx="267">
                  <c:v>12</c:v>
                </c:pt>
                <c:pt idx="268">
                  <c:v>11.5</c:v>
                </c:pt>
                <c:pt idx="269">
                  <c:v>11.5</c:v>
                </c:pt>
                <c:pt idx="270">
                  <c:v>11.5</c:v>
                </c:pt>
                <c:pt idx="271">
                  <c:v>11.5</c:v>
                </c:pt>
                <c:pt idx="272">
                  <c:v>11.5</c:v>
                </c:pt>
                <c:pt idx="273">
                  <c:v>11.5</c:v>
                </c:pt>
                <c:pt idx="274">
                  <c:v>11.5</c:v>
                </c:pt>
                <c:pt idx="275">
                  <c:v>11.5</c:v>
                </c:pt>
                <c:pt idx="276">
                  <c:v>11.5</c:v>
                </c:pt>
                <c:pt idx="277">
                  <c:v>11.5</c:v>
                </c:pt>
                <c:pt idx="278">
                  <c:v>11.5</c:v>
                </c:pt>
                <c:pt idx="279">
                  <c:v>11.5</c:v>
                </c:pt>
                <c:pt idx="280">
                  <c:v>11.5</c:v>
                </c:pt>
                <c:pt idx="281">
                  <c:v>11.5</c:v>
                </c:pt>
                <c:pt idx="282">
                  <c:v>11.5</c:v>
                </c:pt>
                <c:pt idx="283">
                  <c:v>11.5</c:v>
                </c:pt>
                <c:pt idx="284">
                  <c:v>11.5</c:v>
                </c:pt>
                <c:pt idx="285">
                  <c:v>11.5</c:v>
                </c:pt>
                <c:pt idx="286">
                  <c:v>11.5</c:v>
                </c:pt>
                <c:pt idx="287">
                  <c:v>11.5</c:v>
                </c:pt>
                <c:pt idx="288">
                  <c:v>11.5</c:v>
                </c:pt>
                <c:pt idx="289">
                  <c:v>11.5</c:v>
                </c:pt>
                <c:pt idx="290">
                  <c:v>11.5</c:v>
                </c:pt>
                <c:pt idx="291">
                  <c:v>11.5</c:v>
                </c:pt>
                <c:pt idx="292">
                  <c:v>11.5</c:v>
                </c:pt>
                <c:pt idx="293">
                  <c:v>11.5</c:v>
                </c:pt>
                <c:pt idx="294">
                  <c:v>11.5</c:v>
                </c:pt>
                <c:pt idx="295">
                  <c:v>11.5</c:v>
                </c:pt>
                <c:pt idx="296">
                  <c:v>11.5</c:v>
                </c:pt>
                <c:pt idx="297">
                  <c:v>11.5</c:v>
                </c:pt>
                <c:pt idx="298">
                  <c:v>11</c:v>
                </c:pt>
                <c:pt idx="299">
                  <c:v>11</c:v>
                </c:pt>
                <c:pt idx="300">
                  <c:v>11</c:v>
                </c:pt>
                <c:pt idx="301">
                  <c:v>11</c:v>
                </c:pt>
                <c:pt idx="302">
                  <c:v>11</c:v>
                </c:pt>
                <c:pt idx="303">
                  <c:v>11</c:v>
                </c:pt>
                <c:pt idx="304">
                  <c:v>11</c:v>
                </c:pt>
                <c:pt idx="305">
                  <c:v>11</c:v>
                </c:pt>
                <c:pt idx="306">
                  <c:v>11</c:v>
                </c:pt>
                <c:pt idx="307">
                  <c:v>11</c:v>
                </c:pt>
                <c:pt idx="308">
                  <c:v>11</c:v>
                </c:pt>
                <c:pt idx="309">
                  <c:v>11</c:v>
                </c:pt>
                <c:pt idx="310">
                  <c:v>11</c:v>
                </c:pt>
                <c:pt idx="311">
                  <c:v>11</c:v>
                </c:pt>
                <c:pt idx="312">
                  <c:v>11</c:v>
                </c:pt>
                <c:pt idx="313">
                  <c:v>11</c:v>
                </c:pt>
                <c:pt idx="314">
                  <c:v>11</c:v>
                </c:pt>
                <c:pt idx="315">
                  <c:v>11</c:v>
                </c:pt>
                <c:pt idx="316">
                  <c:v>11</c:v>
                </c:pt>
                <c:pt idx="317">
                  <c:v>11</c:v>
                </c:pt>
                <c:pt idx="318">
                  <c:v>11</c:v>
                </c:pt>
                <c:pt idx="319">
                  <c:v>11</c:v>
                </c:pt>
                <c:pt idx="320">
                  <c:v>11</c:v>
                </c:pt>
                <c:pt idx="321">
                  <c:v>11</c:v>
                </c:pt>
                <c:pt idx="322">
                  <c:v>11</c:v>
                </c:pt>
                <c:pt idx="323">
                  <c:v>11</c:v>
                </c:pt>
                <c:pt idx="324">
                  <c:v>11</c:v>
                </c:pt>
                <c:pt idx="325">
                  <c:v>11</c:v>
                </c:pt>
                <c:pt idx="326">
                  <c:v>11</c:v>
                </c:pt>
                <c:pt idx="327">
                  <c:v>11</c:v>
                </c:pt>
                <c:pt idx="328">
                  <c:v>11</c:v>
                </c:pt>
                <c:pt idx="329">
                  <c:v>11</c:v>
                </c:pt>
                <c:pt idx="330">
                  <c:v>11</c:v>
                </c:pt>
                <c:pt idx="331">
                  <c:v>11</c:v>
                </c:pt>
                <c:pt idx="332">
                  <c:v>11</c:v>
                </c:pt>
                <c:pt idx="333">
                  <c:v>11</c:v>
                </c:pt>
                <c:pt idx="334">
                  <c:v>11</c:v>
                </c:pt>
                <c:pt idx="335">
                  <c:v>11</c:v>
                </c:pt>
                <c:pt idx="336">
                  <c:v>11</c:v>
                </c:pt>
                <c:pt idx="337">
                  <c:v>11</c:v>
                </c:pt>
                <c:pt idx="338">
                  <c:v>11</c:v>
                </c:pt>
                <c:pt idx="339">
                  <c:v>11</c:v>
                </c:pt>
                <c:pt idx="340">
                  <c:v>11</c:v>
                </c:pt>
                <c:pt idx="341">
                  <c:v>11</c:v>
                </c:pt>
                <c:pt idx="342">
                  <c:v>11</c:v>
                </c:pt>
                <c:pt idx="343">
                  <c:v>11</c:v>
                </c:pt>
                <c:pt idx="344">
                  <c:v>11</c:v>
                </c:pt>
                <c:pt idx="345">
                  <c:v>11</c:v>
                </c:pt>
                <c:pt idx="346">
                  <c:v>11</c:v>
                </c:pt>
                <c:pt idx="347">
                  <c:v>11</c:v>
                </c:pt>
                <c:pt idx="348">
                  <c:v>11</c:v>
                </c:pt>
                <c:pt idx="349">
                  <c:v>11</c:v>
                </c:pt>
                <c:pt idx="350">
                  <c:v>11</c:v>
                </c:pt>
                <c:pt idx="351">
                  <c:v>11</c:v>
                </c:pt>
                <c:pt idx="352">
                  <c:v>11</c:v>
                </c:pt>
                <c:pt idx="353">
                  <c:v>11</c:v>
                </c:pt>
                <c:pt idx="354">
                  <c:v>11</c:v>
                </c:pt>
                <c:pt idx="355">
                  <c:v>11</c:v>
                </c:pt>
                <c:pt idx="356">
                  <c:v>11</c:v>
                </c:pt>
                <c:pt idx="357">
                  <c:v>11</c:v>
                </c:pt>
                <c:pt idx="358">
                  <c:v>11</c:v>
                </c:pt>
                <c:pt idx="359">
                  <c:v>11</c:v>
                </c:pt>
                <c:pt idx="360">
                  <c:v>11</c:v>
                </c:pt>
                <c:pt idx="361">
                  <c:v>11</c:v>
                </c:pt>
                <c:pt idx="362">
                  <c:v>11</c:v>
                </c:pt>
                <c:pt idx="363">
                  <c:v>10</c:v>
                </c:pt>
                <c:pt idx="364">
                  <c:v>10</c:v>
                </c:pt>
                <c:pt idx="365">
                  <c:v>10</c:v>
                </c:pt>
                <c:pt idx="366">
                  <c:v>10</c:v>
                </c:pt>
                <c:pt idx="367">
                  <c:v>10</c:v>
                </c:pt>
                <c:pt idx="368">
                  <c:v>10</c:v>
                </c:pt>
                <c:pt idx="369">
                  <c:v>10</c:v>
                </c:pt>
                <c:pt idx="370">
                  <c:v>10</c:v>
                </c:pt>
                <c:pt idx="371">
                  <c:v>10</c:v>
                </c:pt>
                <c:pt idx="372">
                  <c:v>10</c:v>
                </c:pt>
                <c:pt idx="373">
                  <c:v>10</c:v>
                </c:pt>
                <c:pt idx="374">
                  <c:v>10</c:v>
                </c:pt>
                <c:pt idx="375">
                  <c:v>10</c:v>
                </c:pt>
                <c:pt idx="376">
                  <c:v>10</c:v>
                </c:pt>
                <c:pt idx="377">
                  <c:v>10</c:v>
                </c:pt>
                <c:pt idx="378">
                  <c:v>10</c:v>
                </c:pt>
                <c:pt idx="379">
                  <c:v>10</c:v>
                </c:pt>
                <c:pt idx="380">
                  <c:v>10</c:v>
                </c:pt>
                <c:pt idx="381">
                  <c:v>10</c:v>
                </c:pt>
                <c:pt idx="382">
                  <c:v>10</c:v>
                </c:pt>
                <c:pt idx="383">
                  <c:v>10</c:v>
                </c:pt>
                <c:pt idx="384">
                  <c:v>10</c:v>
                </c:pt>
                <c:pt idx="385">
                  <c:v>10</c:v>
                </c:pt>
                <c:pt idx="386">
                  <c:v>10</c:v>
                </c:pt>
                <c:pt idx="387">
                  <c:v>10</c:v>
                </c:pt>
                <c:pt idx="388">
                  <c:v>10</c:v>
                </c:pt>
                <c:pt idx="389">
                  <c:v>10</c:v>
                </c:pt>
                <c:pt idx="390">
                  <c:v>10</c:v>
                </c:pt>
                <c:pt idx="391">
                  <c:v>10</c:v>
                </c:pt>
                <c:pt idx="392">
                  <c:v>10</c:v>
                </c:pt>
                <c:pt idx="393">
                  <c:v>10</c:v>
                </c:pt>
                <c:pt idx="394">
                  <c:v>10</c:v>
                </c:pt>
                <c:pt idx="395">
                  <c:v>10</c:v>
                </c:pt>
                <c:pt idx="396">
                  <c:v>10</c:v>
                </c:pt>
                <c:pt idx="397">
                  <c:v>10</c:v>
                </c:pt>
                <c:pt idx="398">
                  <c:v>10</c:v>
                </c:pt>
                <c:pt idx="399">
                  <c:v>10</c:v>
                </c:pt>
                <c:pt idx="400">
                  <c:v>10</c:v>
                </c:pt>
                <c:pt idx="401">
                  <c:v>10</c:v>
                </c:pt>
                <c:pt idx="402">
                  <c:v>10</c:v>
                </c:pt>
                <c:pt idx="403">
                  <c:v>10</c:v>
                </c:pt>
                <c:pt idx="404">
                  <c:v>10</c:v>
                </c:pt>
                <c:pt idx="405">
                  <c:v>10</c:v>
                </c:pt>
                <c:pt idx="406">
                  <c:v>10</c:v>
                </c:pt>
                <c:pt idx="407">
                  <c:v>10</c:v>
                </c:pt>
                <c:pt idx="408">
                  <c:v>10</c:v>
                </c:pt>
                <c:pt idx="409">
                  <c:v>10</c:v>
                </c:pt>
                <c:pt idx="410">
                  <c:v>10</c:v>
                </c:pt>
                <c:pt idx="411">
                  <c:v>10</c:v>
                </c:pt>
                <c:pt idx="412">
                  <c:v>10</c:v>
                </c:pt>
                <c:pt idx="413">
                  <c:v>10</c:v>
                </c:pt>
                <c:pt idx="414">
                  <c:v>10</c:v>
                </c:pt>
                <c:pt idx="415">
                  <c:v>10</c:v>
                </c:pt>
                <c:pt idx="416">
                  <c:v>10</c:v>
                </c:pt>
                <c:pt idx="417">
                  <c:v>10</c:v>
                </c:pt>
                <c:pt idx="418">
                  <c:v>10</c:v>
                </c:pt>
                <c:pt idx="419">
                  <c:v>10</c:v>
                </c:pt>
                <c:pt idx="420">
                  <c:v>10</c:v>
                </c:pt>
                <c:pt idx="421">
                  <c:v>10</c:v>
                </c:pt>
                <c:pt idx="422">
                  <c:v>10</c:v>
                </c:pt>
                <c:pt idx="423">
                  <c:v>10</c:v>
                </c:pt>
                <c:pt idx="424">
                  <c:v>10</c:v>
                </c:pt>
                <c:pt idx="425">
                  <c:v>10</c:v>
                </c:pt>
                <c:pt idx="426">
                  <c:v>10</c:v>
                </c:pt>
                <c:pt idx="427">
                  <c:v>10</c:v>
                </c:pt>
                <c:pt idx="428">
                  <c:v>10</c:v>
                </c:pt>
                <c:pt idx="429">
                  <c:v>10</c:v>
                </c:pt>
                <c:pt idx="430">
                  <c:v>10</c:v>
                </c:pt>
                <c:pt idx="431">
                  <c:v>10</c:v>
                </c:pt>
                <c:pt idx="432">
                  <c:v>9.5</c:v>
                </c:pt>
                <c:pt idx="433">
                  <c:v>9.5</c:v>
                </c:pt>
                <c:pt idx="434">
                  <c:v>9.5</c:v>
                </c:pt>
                <c:pt idx="435">
                  <c:v>9.5</c:v>
                </c:pt>
                <c:pt idx="436">
                  <c:v>9.5</c:v>
                </c:pt>
                <c:pt idx="437">
                  <c:v>9.5</c:v>
                </c:pt>
                <c:pt idx="438">
                  <c:v>9.5</c:v>
                </c:pt>
                <c:pt idx="439">
                  <c:v>9.5</c:v>
                </c:pt>
                <c:pt idx="440">
                  <c:v>9.5</c:v>
                </c:pt>
                <c:pt idx="441">
                  <c:v>9.5</c:v>
                </c:pt>
                <c:pt idx="442">
                  <c:v>9.5</c:v>
                </c:pt>
                <c:pt idx="443">
                  <c:v>9.5</c:v>
                </c:pt>
                <c:pt idx="444">
                  <c:v>9.5</c:v>
                </c:pt>
                <c:pt idx="445">
                  <c:v>9.5</c:v>
                </c:pt>
                <c:pt idx="446">
                  <c:v>9.5</c:v>
                </c:pt>
                <c:pt idx="447">
                  <c:v>9.5</c:v>
                </c:pt>
                <c:pt idx="448">
                  <c:v>9.5</c:v>
                </c:pt>
                <c:pt idx="449">
                  <c:v>9.5</c:v>
                </c:pt>
                <c:pt idx="450">
                  <c:v>9.5</c:v>
                </c:pt>
                <c:pt idx="451">
                  <c:v>9.5</c:v>
                </c:pt>
                <c:pt idx="452">
                  <c:v>9.5</c:v>
                </c:pt>
                <c:pt idx="453">
                  <c:v>9.5</c:v>
                </c:pt>
                <c:pt idx="454">
                  <c:v>9.5</c:v>
                </c:pt>
                <c:pt idx="455">
                  <c:v>9.5</c:v>
                </c:pt>
                <c:pt idx="456">
                  <c:v>9.5</c:v>
                </c:pt>
                <c:pt idx="457">
                  <c:v>9.5</c:v>
                </c:pt>
                <c:pt idx="458">
                  <c:v>9.5</c:v>
                </c:pt>
                <c:pt idx="459">
                  <c:v>9.5</c:v>
                </c:pt>
                <c:pt idx="460">
                  <c:v>9.5</c:v>
                </c:pt>
              </c:numCache>
            </c:numRef>
          </c:val>
          <c:smooth val="0"/>
          <c:extLst xmlns:c16r2="http://schemas.microsoft.com/office/drawing/2015/06/chart">
            <c:ext xmlns:c16="http://schemas.microsoft.com/office/drawing/2014/chart" uri="{C3380CC4-5D6E-409C-BE32-E72D297353CC}">
              <c16:uniqueId val="{00000000-F609-4388-B3D5-CA8D5141E73D}"/>
            </c:ext>
          </c:extLst>
        </c:ser>
        <c:ser>
          <c:idx val="3"/>
          <c:order val="1"/>
          <c:tx>
            <c:strRef>
              <c:f>'TONIA 06.01.2017'!$H$1</c:f>
              <c:strCache>
                <c:ptCount val="1"/>
                <c:pt idx="0">
                  <c:v>Өтімділікті беру бойынша тұрақты қолжетімділік операциялары</c:v>
                </c:pt>
              </c:strCache>
            </c:strRef>
          </c:tx>
          <c:spPr>
            <a:ln w="31750">
              <a:solidFill>
                <a:srgbClr val="9C7C07"/>
              </a:solidFill>
              <a:prstDash val="sysDash"/>
            </a:ln>
          </c:spPr>
          <c:marker>
            <c:symbol val="none"/>
          </c:marker>
          <c:cat>
            <c:numRef>
              <c:f>'TONIA 06.01.2017'!$A$3:$A$463</c:f>
              <c:numCache>
                <c:formatCode>dd\.mm\.yy</c:formatCode>
                <c:ptCount val="461"/>
                <c:pt idx="0">
                  <c:v>42248.75</c:v>
                </c:pt>
                <c:pt idx="1">
                  <c:v>42249.75</c:v>
                </c:pt>
                <c:pt idx="2">
                  <c:v>42250.75</c:v>
                </c:pt>
                <c:pt idx="3">
                  <c:v>42251.75</c:v>
                </c:pt>
                <c:pt idx="4">
                  <c:v>42254.75</c:v>
                </c:pt>
                <c:pt idx="5">
                  <c:v>42255.75</c:v>
                </c:pt>
                <c:pt idx="6">
                  <c:v>42256.75</c:v>
                </c:pt>
                <c:pt idx="7">
                  <c:v>42257.75</c:v>
                </c:pt>
                <c:pt idx="8">
                  <c:v>42258.75</c:v>
                </c:pt>
                <c:pt idx="9">
                  <c:v>42261.75</c:v>
                </c:pt>
                <c:pt idx="10">
                  <c:v>42262.75</c:v>
                </c:pt>
                <c:pt idx="11">
                  <c:v>42263.75</c:v>
                </c:pt>
                <c:pt idx="12">
                  <c:v>42264.75</c:v>
                </c:pt>
                <c:pt idx="13">
                  <c:v>42265.75</c:v>
                </c:pt>
                <c:pt idx="14">
                  <c:v>42268.75</c:v>
                </c:pt>
                <c:pt idx="15">
                  <c:v>42269.75</c:v>
                </c:pt>
                <c:pt idx="16">
                  <c:v>42270.75</c:v>
                </c:pt>
                <c:pt idx="17">
                  <c:v>42272.75</c:v>
                </c:pt>
                <c:pt idx="18">
                  <c:v>42275.75</c:v>
                </c:pt>
                <c:pt idx="19">
                  <c:v>42276.75</c:v>
                </c:pt>
                <c:pt idx="20">
                  <c:v>42277.75</c:v>
                </c:pt>
                <c:pt idx="21">
                  <c:v>42278.75</c:v>
                </c:pt>
                <c:pt idx="22">
                  <c:v>42279.75</c:v>
                </c:pt>
                <c:pt idx="23">
                  <c:v>42282.75</c:v>
                </c:pt>
                <c:pt idx="24">
                  <c:v>42283.75</c:v>
                </c:pt>
                <c:pt idx="25">
                  <c:v>42284.75</c:v>
                </c:pt>
                <c:pt idx="26">
                  <c:v>42285.75</c:v>
                </c:pt>
                <c:pt idx="27">
                  <c:v>42286.75</c:v>
                </c:pt>
                <c:pt idx="28">
                  <c:v>42289.75</c:v>
                </c:pt>
                <c:pt idx="29">
                  <c:v>42290.75</c:v>
                </c:pt>
                <c:pt idx="30">
                  <c:v>42291.75</c:v>
                </c:pt>
                <c:pt idx="31">
                  <c:v>42292.75</c:v>
                </c:pt>
                <c:pt idx="32">
                  <c:v>42293.75</c:v>
                </c:pt>
                <c:pt idx="33">
                  <c:v>42296.75</c:v>
                </c:pt>
                <c:pt idx="34">
                  <c:v>42297.75</c:v>
                </c:pt>
                <c:pt idx="35">
                  <c:v>42298.75</c:v>
                </c:pt>
                <c:pt idx="36">
                  <c:v>42299.75</c:v>
                </c:pt>
                <c:pt idx="37">
                  <c:v>42300.75</c:v>
                </c:pt>
                <c:pt idx="38">
                  <c:v>42303.75</c:v>
                </c:pt>
                <c:pt idx="39">
                  <c:v>42304.75</c:v>
                </c:pt>
                <c:pt idx="40">
                  <c:v>42305.75</c:v>
                </c:pt>
                <c:pt idx="41">
                  <c:v>42306.75</c:v>
                </c:pt>
                <c:pt idx="42">
                  <c:v>42307.75</c:v>
                </c:pt>
                <c:pt idx="43">
                  <c:v>42310.75</c:v>
                </c:pt>
                <c:pt idx="44">
                  <c:v>42311.75</c:v>
                </c:pt>
                <c:pt idx="45">
                  <c:v>42312.75</c:v>
                </c:pt>
                <c:pt idx="46">
                  <c:v>42313.75</c:v>
                </c:pt>
                <c:pt idx="47">
                  <c:v>42314.75</c:v>
                </c:pt>
                <c:pt idx="48">
                  <c:v>42317.75</c:v>
                </c:pt>
                <c:pt idx="49">
                  <c:v>42318.75</c:v>
                </c:pt>
                <c:pt idx="50">
                  <c:v>42319.75</c:v>
                </c:pt>
                <c:pt idx="51">
                  <c:v>42320.75</c:v>
                </c:pt>
                <c:pt idx="52">
                  <c:v>42321.75</c:v>
                </c:pt>
                <c:pt idx="53">
                  <c:v>42324.75</c:v>
                </c:pt>
                <c:pt idx="54">
                  <c:v>42325.75</c:v>
                </c:pt>
                <c:pt idx="55">
                  <c:v>42326.75</c:v>
                </c:pt>
                <c:pt idx="56">
                  <c:v>42327.75</c:v>
                </c:pt>
                <c:pt idx="57">
                  <c:v>42328.75</c:v>
                </c:pt>
                <c:pt idx="58">
                  <c:v>42331.75</c:v>
                </c:pt>
                <c:pt idx="59">
                  <c:v>42332.75</c:v>
                </c:pt>
                <c:pt idx="60">
                  <c:v>42333.75</c:v>
                </c:pt>
                <c:pt idx="61">
                  <c:v>42334.75</c:v>
                </c:pt>
                <c:pt idx="62">
                  <c:v>42335.75</c:v>
                </c:pt>
                <c:pt idx="63">
                  <c:v>42338.75</c:v>
                </c:pt>
                <c:pt idx="64">
                  <c:v>42340.75</c:v>
                </c:pt>
                <c:pt idx="65">
                  <c:v>42341.75</c:v>
                </c:pt>
                <c:pt idx="66">
                  <c:v>42342.75</c:v>
                </c:pt>
                <c:pt idx="67">
                  <c:v>42345.75</c:v>
                </c:pt>
                <c:pt idx="68">
                  <c:v>42346.75</c:v>
                </c:pt>
                <c:pt idx="69">
                  <c:v>42347.75</c:v>
                </c:pt>
                <c:pt idx="70">
                  <c:v>42348.75</c:v>
                </c:pt>
                <c:pt idx="71">
                  <c:v>42349.75</c:v>
                </c:pt>
                <c:pt idx="72">
                  <c:v>42352.75</c:v>
                </c:pt>
                <c:pt idx="73">
                  <c:v>42353.75</c:v>
                </c:pt>
                <c:pt idx="74">
                  <c:v>42356.75</c:v>
                </c:pt>
                <c:pt idx="75">
                  <c:v>42359.75</c:v>
                </c:pt>
                <c:pt idx="76">
                  <c:v>42360.75</c:v>
                </c:pt>
                <c:pt idx="77">
                  <c:v>42361.75</c:v>
                </c:pt>
                <c:pt idx="78">
                  <c:v>42362.75</c:v>
                </c:pt>
                <c:pt idx="79">
                  <c:v>42363.75</c:v>
                </c:pt>
                <c:pt idx="80">
                  <c:v>42366.75</c:v>
                </c:pt>
                <c:pt idx="81">
                  <c:v>42367.75</c:v>
                </c:pt>
                <c:pt idx="82">
                  <c:v>42368.75</c:v>
                </c:pt>
                <c:pt idx="83">
                  <c:v>42369.75</c:v>
                </c:pt>
                <c:pt idx="84">
                  <c:v>42374.75</c:v>
                </c:pt>
                <c:pt idx="85">
                  <c:v>42375.75</c:v>
                </c:pt>
                <c:pt idx="86">
                  <c:v>42377.75</c:v>
                </c:pt>
                <c:pt idx="87">
                  <c:v>42380.75</c:v>
                </c:pt>
                <c:pt idx="88">
                  <c:v>42381.75</c:v>
                </c:pt>
                <c:pt idx="89">
                  <c:v>42382.75</c:v>
                </c:pt>
                <c:pt idx="90">
                  <c:v>42383.75</c:v>
                </c:pt>
                <c:pt idx="91">
                  <c:v>42384.75</c:v>
                </c:pt>
                <c:pt idx="92">
                  <c:v>42387</c:v>
                </c:pt>
                <c:pt idx="93">
                  <c:v>42388</c:v>
                </c:pt>
                <c:pt idx="94">
                  <c:v>42389</c:v>
                </c:pt>
                <c:pt idx="95">
                  <c:v>42390</c:v>
                </c:pt>
                <c:pt idx="96">
                  <c:v>42391</c:v>
                </c:pt>
                <c:pt idx="97">
                  <c:v>42394</c:v>
                </c:pt>
                <c:pt idx="98">
                  <c:v>42395</c:v>
                </c:pt>
                <c:pt idx="99">
                  <c:v>42396</c:v>
                </c:pt>
                <c:pt idx="100">
                  <c:v>42397</c:v>
                </c:pt>
                <c:pt idx="101">
                  <c:v>42398</c:v>
                </c:pt>
                <c:pt idx="102">
                  <c:v>42401.75</c:v>
                </c:pt>
                <c:pt idx="103">
                  <c:v>42402.75</c:v>
                </c:pt>
                <c:pt idx="104">
                  <c:v>42403.75</c:v>
                </c:pt>
                <c:pt idx="105">
                  <c:v>42404.75</c:v>
                </c:pt>
                <c:pt idx="106">
                  <c:v>42405.75</c:v>
                </c:pt>
                <c:pt idx="107">
                  <c:v>42408.75</c:v>
                </c:pt>
                <c:pt idx="108">
                  <c:v>42409.75</c:v>
                </c:pt>
                <c:pt idx="109">
                  <c:v>42410.75</c:v>
                </c:pt>
                <c:pt idx="110">
                  <c:v>42411.75</c:v>
                </c:pt>
                <c:pt idx="111">
                  <c:v>42412.75</c:v>
                </c:pt>
                <c:pt idx="112">
                  <c:v>42415.75</c:v>
                </c:pt>
                <c:pt idx="113">
                  <c:v>42416.75</c:v>
                </c:pt>
                <c:pt idx="114">
                  <c:v>42417.75</c:v>
                </c:pt>
                <c:pt idx="115">
                  <c:v>42418.75</c:v>
                </c:pt>
                <c:pt idx="116">
                  <c:v>42419.75</c:v>
                </c:pt>
                <c:pt idx="117">
                  <c:v>42422.75</c:v>
                </c:pt>
                <c:pt idx="118">
                  <c:v>42423.75</c:v>
                </c:pt>
                <c:pt idx="119">
                  <c:v>42424.75</c:v>
                </c:pt>
                <c:pt idx="120">
                  <c:v>42425.75</c:v>
                </c:pt>
                <c:pt idx="121">
                  <c:v>42426.75</c:v>
                </c:pt>
                <c:pt idx="122">
                  <c:v>42429.75</c:v>
                </c:pt>
                <c:pt idx="123">
                  <c:v>42430.75</c:v>
                </c:pt>
                <c:pt idx="124">
                  <c:v>42431.75</c:v>
                </c:pt>
                <c:pt idx="125">
                  <c:v>42432.75</c:v>
                </c:pt>
                <c:pt idx="126">
                  <c:v>42433.75</c:v>
                </c:pt>
                <c:pt idx="127">
                  <c:v>42434.75</c:v>
                </c:pt>
                <c:pt idx="128">
                  <c:v>42438.75</c:v>
                </c:pt>
                <c:pt idx="129">
                  <c:v>42439.75</c:v>
                </c:pt>
                <c:pt idx="130">
                  <c:v>42440.75</c:v>
                </c:pt>
                <c:pt idx="131">
                  <c:v>42443.75</c:v>
                </c:pt>
                <c:pt idx="132">
                  <c:v>42444.75</c:v>
                </c:pt>
                <c:pt idx="133">
                  <c:v>42445.75</c:v>
                </c:pt>
                <c:pt idx="134">
                  <c:v>42446.75</c:v>
                </c:pt>
                <c:pt idx="135">
                  <c:v>42447.75</c:v>
                </c:pt>
                <c:pt idx="136">
                  <c:v>42453.75</c:v>
                </c:pt>
                <c:pt idx="137">
                  <c:v>42454.75</c:v>
                </c:pt>
                <c:pt idx="138">
                  <c:v>42457.75</c:v>
                </c:pt>
                <c:pt idx="139">
                  <c:v>42458.75</c:v>
                </c:pt>
                <c:pt idx="140">
                  <c:v>42459.75</c:v>
                </c:pt>
                <c:pt idx="141">
                  <c:v>42460.75</c:v>
                </c:pt>
                <c:pt idx="142">
                  <c:v>42461.75</c:v>
                </c:pt>
                <c:pt idx="143">
                  <c:v>42464.75</c:v>
                </c:pt>
                <c:pt idx="144">
                  <c:v>42465.75</c:v>
                </c:pt>
                <c:pt idx="145">
                  <c:v>42466.75</c:v>
                </c:pt>
                <c:pt idx="146">
                  <c:v>42467.75</c:v>
                </c:pt>
                <c:pt idx="147">
                  <c:v>42468.75</c:v>
                </c:pt>
                <c:pt idx="148">
                  <c:v>42471.75</c:v>
                </c:pt>
                <c:pt idx="149">
                  <c:v>42472.75</c:v>
                </c:pt>
                <c:pt idx="150">
                  <c:v>42473.75</c:v>
                </c:pt>
                <c:pt idx="151">
                  <c:v>42474.75</c:v>
                </c:pt>
                <c:pt idx="152">
                  <c:v>42475.75</c:v>
                </c:pt>
                <c:pt idx="153">
                  <c:v>42478.75</c:v>
                </c:pt>
                <c:pt idx="154">
                  <c:v>42479.75</c:v>
                </c:pt>
                <c:pt idx="155">
                  <c:v>42480.75</c:v>
                </c:pt>
                <c:pt idx="156">
                  <c:v>42481.75</c:v>
                </c:pt>
                <c:pt idx="157">
                  <c:v>42482.75</c:v>
                </c:pt>
                <c:pt idx="158">
                  <c:v>42485.75</c:v>
                </c:pt>
                <c:pt idx="159">
                  <c:v>42486.75</c:v>
                </c:pt>
                <c:pt idx="160">
                  <c:v>42487.75</c:v>
                </c:pt>
                <c:pt idx="161">
                  <c:v>42488.75</c:v>
                </c:pt>
                <c:pt idx="162">
                  <c:v>42489.75</c:v>
                </c:pt>
                <c:pt idx="163">
                  <c:v>42493.75</c:v>
                </c:pt>
                <c:pt idx="164">
                  <c:v>42494.75</c:v>
                </c:pt>
                <c:pt idx="165">
                  <c:v>42495.75</c:v>
                </c:pt>
                <c:pt idx="166">
                  <c:v>42496.75</c:v>
                </c:pt>
                <c:pt idx="167">
                  <c:v>42501.75</c:v>
                </c:pt>
                <c:pt idx="168">
                  <c:v>42502.75</c:v>
                </c:pt>
                <c:pt idx="169">
                  <c:v>42503.75</c:v>
                </c:pt>
                <c:pt idx="170">
                  <c:v>42506.75</c:v>
                </c:pt>
                <c:pt idx="171">
                  <c:v>42507.75</c:v>
                </c:pt>
                <c:pt idx="172">
                  <c:v>42508.75</c:v>
                </c:pt>
                <c:pt idx="173">
                  <c:v>42509.75</c:v>
                </c:pt>
                <c:pt idx="174">
                  <c:v>42510.75</c:v>
                </c:pt>
                <c:pt idx="175">
                  <c:v>42513.75</c:v>
                </c:pt>
                <c:pt idx="176">
                  <c:v>42514.75</c:v>
                </c:pt>
                <c:pt idx="177">
                  <c:v>42515.75</c:v>
                </c:pt>
                <c:pt idx="178">
                  <c:v>42516.75</c:v>
                </c:pt>
                <c:pt idx="179">
                  <c:v>42517.75</c:v>
                </c:pt>
                <c:pt idx="180">
                  <c:v>42520.75</c:v>
                </c:pt>
                <c:pt idx="181">
                  <c:v>42521.75</c:v>
                </c:pt>
                <c:pt idx="182">
                  <c:v>42522.75</c:v>
                </c:pt>
                <c:pt idx="183">
                  <c:v>42523.75</c:v>
                </c:pt>
                <c:pt idx="184">
                  <c:v>42524.75</c:v>
                </c:pt>
                <c:pt idx="185">
                  <c:v>42527.75</c:v>
                </c:pt>
                <c:pt idx="186">
                  <c:v>42528.75</c:v>
                </c:pt>
                <c:pt idx="187">
                  <c:v>42529.75</c:v>
                </c:pt>
                <c:pt idx="188">
                  <c:v>42530.75</c:v>
                </c:pt>
                <c:pt idx="189">
                  <c:v>42531.75</c:v>
                </c:pt>
                <c:pt idx="190">
                  <c:v>42534.75</c:v>
                </c:pt>
                <c:pt idx="191">
                  <c:v>42535.75</c:v>
                </c:pt>
                <c:pt idx="192">
                  <c:v>42536.75</c:v>
                </c:pt>
                <c:pt idx="193">
                  <c:v>42537.75</c:v>
                </c:pt>
                <c:pt idx="194">
                  <c:v>42538.75</c:v>
                </c:pt>
                <c:pt idx="195">
                  <c:v>42541.75</c:v>
                </c:pt>
                <c:pt idx="196">
                  <c:v>42542.75</c:v>
                </c:pt>
                <c:pt idx="197">
                  <c:v>42543.75</c:v>
                </c:pt>
                <c:pt idx="198">
                  <c:v>42544.75</c:v>
                </c:pt>
                <c:pt idx="199">
                  <c:v>42545.75</c:v>
                </c:pt>
                <c:pt idx="200">
                  <c:v>42548.75</c:v>
                </c:pt>
                <c:pt idx="201">
                  <c:v>42549.75</c:v>
                </c:pt>
                <c:pt idx="202">
                  <c:v>42550.75</c:v>
                </c:pt>
                <c:pt idx="203">
                  <c:v>42551.75</c:v>
                </c:pt>
                <c:pt idx="204">
                  <c:v>42552.75</c:v>
                </c:pt>
                <c:pt idx="205">
                  <c:v>42555.75</c:v>
                </c:pt>
                <c:pt idx="206">
                  <c:v>42556.75</c:v>
                </c:pt>
                <c:pt idx="207">
                  <c:v>42558.75</c:v>
                </c:pt>
                <c:pt idx="208">
                  <c:v>42559.75</c:v>
                </c:pt>
                <c:pt idx="209">
                  <c:v>42562.75</c:v>
                </c:pt>
                <c:pt idx="210">
                  <c:v>42563.75</c:v>
                </c:pt>
                <c:pt idx="211">
                  <c:v>42564.75</c:v>
                </c:pt>
                <c:pt idx="212">
                  <c:v>42565.75</c:v>
                </c:pt>
                <c:pt idx="213">
                  <c:v>42566.75</c:v>
                </c:pt>
                <c:pt idx="214">
                  <c:v>42569.75</c:v>
                </c:pt>
                <c:pt idx="215">
                  <c:v>42570.75</c:v>
                </c:pt>
                <c:pt idx="216">
                  <c:v>42571.75</c:v>
                </c:pt>
                <c:pt idx="217">
                  <c:v>42572.75</c:v>
                </c:pt>
                <c:pt idx="218">
                  <c:v>42573.75</c:v>
                </c:pt>
                <c:pt idx="219">
                  <c:v>42576.75</c:v>
                </c:pt>
                <c:pt idx="220">
                  <c:v>42577.75</c:v>
                </c:pt>
                <c:pt idx="221">
                  <c:v>42578.75</c:v>
                </c:pt>
                <c:pt idx="222">
                  <c:v>42579.75</c:v>
                </c:pt>
                <c:pt idx="223">
                  <c:v>42580.75</c:v>
                </c:pt>
                <c:pt idx="224">
                  <c:v>42583.75</c:v>
                </c:pt>
                <c:pt idx="225">
                  <c:v>42584.75</c:v>
                </c:pt>
                <c:pt idx="226">
                  <c:v>42585.75</c:v>
                </c:pt>
                <c:pt idx="227">
                  <c:v>42586.75</c:v>
                </c:pt>
                <c:pt idx="228">
                  <c:v>42587.75</c:v>
                </c:pt>
                <c:pt idx="229">
                  <c:v>42590.75</c:v>
                </c:pt>
                <c:pt idx="230">
                  <c:v>42591.75</c:v>
                </c:pt>
                <c:pt idx="231">
                  <c:v>42592.75</c:v>
                </c:pt>
                <c:pt idx="232">
                  <c:v>42593.75</c:v>
                </c:pt>
                <c:pt idx="233">
                  <c:v>42594.75</c:v>
                </c:pt>
                <c:pt idx="234">
                  <c:v>42597.75</c:v>
                </c:pt>
                <c:pt idx="235">
                  <c:v>42598.75</c:v>
                </c:pt>
                <c:pt idx="236">
                  <c:v>42599.75</c:v>
                </c:pt>
                <c:pt idx="237">
                  <c:v>42600.75</c:v>
                </c:pt>
                <c:pt idx="238">
                  <c:v>42601.75</c:v>
                </c:pt>
                <c:pt idx="239">
                  <c:v>42604.75</c:v>
                </c:pt>
                <c:pt idx="240">
                  <c:v>42605.75</c:v>
                </c:pt>
                <c:pt idx="241">
                  <c:v>42606.75</c:v>
                </c:pt>
                <c:pt idx="242">
                  <c:v>42607.75</c:v>
                </c:pt>
                <c:pt idx="243">
                  <c:v>42608.75</c:v>
                </c:pt>
                <c:pt idx="244">
                  <c:v>42611.75</c:v>
                </c:pt>
                <c:pt idx="245">
                  <c:v>42613.75</c:v>
                </c:pt>
                <c:pt idx="246">
                  <c:v>42614.75</c:v>
                </c:pt>
                <c:pt idx="247">
                  <c:v>42615.75</c:v>
                </c:pt>
                <c:pt idx="248">
                  <c:v>42618.75</c:v>
                </c:pt>
                <c:pt idx="249">
                  <c:v>42619.75</c:v>
                </c:pt>
                <c:pt idx="250">
                  <c:v>42620.75</c:v>
                </c:pt>
                <c:pt idx="251">
                  <c:v>42621.75</c:v>
                </c:pt>
                <c:pt idx="252">
                  <c:v>42622.75</c:v>
                </c:pt>
                <c:pt idx="253">
                  <c:v>42626.75</c:v>
                </c:pt>
                <c:pt idx="254">
                  <c:v>42627.75</c:v>
                </c:pt>
                <c:pt idx="255">
                  <c:v>42628.75</c:v>
                </c:pt>
                <c:pt idx="256">
                  <c:v>42629.75</c:v>
                </c:pt>
                <c:pt idx="257">
                  <c:v>42632.75</c:v>
                </c:pt>
                <c:pt idx="258">
                  <c:v>42633.75</c:v>
                </c:pt>
                <c:pt idx="259">
                  <c:v>42634.75</c:v>
                </c:pt>
                <c:pt idx="260">
                  <c:v>42635.75</c:v>
                </c:pt>
                <c:pt idx="261">
                  <c:v>42636.75</c:v>
                </c:pt>
                <c:pt idx="262">
                  <c:v>42639.75</c:v>
                </c:pt>
                <c:pt idx="263">
                  <c:v>42640.75</c:v>
                </c:pt>
                <c:pt idx="264">
                  <c:v>42641.75</c:v>
                </c:pt>
                <c:pt idx="265">
                  <c:v>42642.75</c:v>
                </c:pt>
                <c:pt idx="266">
                  <c:v>42643.75</c:v>
                </c:pt>
                <c:pt idx="267">
                  <c:v>42646.75</c:v>
                </c:pt>
                <c:pt idx="268">
                  <c:v>42647.75</c:v>
                </c:pt>
                <c:pt idx="269">
                  <c:v>42648.75</c:v>
                </c:pt>
                <c:pt idx="270">
                  <c:v>42649.75</c:v>
                </c:pt>
                <c:pt idx="271">
                  <c:v>42650.75</c:v>
                </c:pt>
                <c:pt idx="272">
                  <c:v>42653.75</c:v>
                </c:pt>
                <c:pt idx="273">
                  <c:v>42654.75</c:v>
                </c:pt>
                <c:pt idx="274">
                  <c:v>42655.75</c:v>
                </c:pt>
                <c:pt idx="275">
                  <c:v>42656.75</c:v>
                </c:pt>
                <c:pt idx="276">
                  <c:v>42657.75</c:v>
                </c:pt>
                <c:pt idx="277">
                  <c:v>42660.75</c:v>
                </c:pt>
                <c:pt idx="278">
                  <c:v>42661.75</c:v>
                </c:pt>
                <c:pt idx="279">
                  <c:v>42662.75</c:v>
                </c:pt>
                <c:pt idx="280">
                  <c:v>42663.75</c:v>
                </c:pt>
                <c:pt idx="281">
                  <c:v>42664.75</c:v>
                </c:pt>
                <c:pt idx="282">
                  <c:v>42667.75</c:v>
                </c:pt>
                <c:pt idx="283">
                  <c:v>42668.75</c:v>
                </c:pt>
                <c:pt idx="284">
                  <c:v>42669.75</c:v>
                </c:pt>
                <c:pt idx="285">
                  <c:v>42670.75</c:v>
                </c:pt>
                <c:pt idx="286">
                  <c:v>42671.75</c:v>
                </c:pt>
                <c:pt idx="287">
                  <c:v>42674.75</c:v>
                </c:pt>
                <c:pt idx="288">
                  <c:v>42675.75</c:v>
                </c:pt>
                <c:pt idx="289">
                  <c:v>42676.75</c:v>
                </c:pt>
                <c:pt idx="290">
                  <c:v>42677.75</c:v>
                </c:pt>
                <c:pt idx="291">
                  <c:v>42678.75</c:v>
                </c:pt>
                <c:pt idx="292">
                  <c:v>42681.75</c:v>
                </c:pt>
                <c:pt idx="293">
                  <c:v>42682.75</c:v>
                </c:pt>
                <c:pt idx="294">
                  <c:v>42683.75</c:v>
                </c:pt>
                <c:pt idx="295">
                  <c:v>42684.75</c:v>
                </c:pt>
                <c:pt idx="296">
                  <c:v>42685.75</c:v>
                </c:pt>
                <c:pt idx="297">
                  <c:v>42688.75</c:v>
                </c:pt>
                <c:pt idx="298">
                  <c:v>42689.75</c:v>
                </c:pt>
                <c:pt idx="299">
                  <c:v>42690.75</c:v>
                </c:pt>
                <c:pt idx="300">
                  <c:v>42691.75</c:v>
                </c:pt>
                <c:pt idx="301">
                  <c:v>42692.75</c:v>
                </c:pt>
                <c:pt idx="302">
                  <c:v>42695.75</c:v>
                </c:pt>
                <c:pt idx="303">
                  <c:v>42696.75</c:v>
                </c:pt>
                <c:pt idx="304">
                  <c:v>42697.75</c:v>
                </c:pt>
                <c:pt idx="305">
                  <c:v>42698.75</c:v>
                </c:pt>
                <c:pt idx="306">
                  <c:v>42699.75</c:v>
                </c:pt>
                <c:pt idx="307">
                  <c:v>42702.75</c:v>
                </c:pt>
                <c:pt idx="308">
                  <c:v>42703.75</c:v>
                </c:pt>
                <c:pt idx="309">
                  <c:v>42704.75</c:v>
                </c:pt>
                <c:pt idx="310">
                  <c:v>42706.75</c:v>
                </c:pt>
                <c:pt idx="311">
                  <c:v>42709.75</c:v>
                </c:pt>
                <c:pt idx="312">
                  <c:v>42710.75</c:v>
                </c:pt>
                <c:pt idx="313">
                  <c:v>42711.75</c:v>
                </c:pt>
                <c:pt idx="314">
                  <c:v>42712.75</c:v>
                </c:pt>
                <c:pt idx="315">
                  <c:v>42713.75</c:v>
                </c:pt>
                <c:pt idx="316">
                  <c:v>42716.75</c:v>
                </c:pt>
                <c:pt idx="317">
                  <c:v>42717.75</c:v>
                </c:pt>
                <c:pt idx="318">
                  <c:v>42718.75</c:v>
                </c:pt>
                <c:pt idx="319">
                  <c:v>42719.75</c:v>
                </c:pt>
                <c:pt idx="320">
                  <c:v>42724.75</c:v>
                </c:pt>
                <c:pt idx="321">
                  <c:v>42725.75</c:v>
                </c:pt>
                <c:pt idx="322">
                  <c:v>42726.75</c:v>
                </c:pt>
                <c:pt idx="323">
                  <c:v>42727.75</c:v>
                </c:pt>
                <c:pt idx="324">
                  <c:v>42730.75</c:v>
                </c:pt>
                <c:pt idx="325">
                  <c:v>42731.75</c:v>
                </c:pt>
                <c:pt idx="326">
                  <c:v>42732.75</c:v>
                </c:pt>
                <c:pt idx="327">
                  <c:v>42733.75</c:v>
                </c:pt>
                <c:pt idx="328">
                  <c:v>42734.75</c:v>
                </c:pt>
                <c:pt idx="329">
                  <c:v>42739.75</c:v>
                </c:pt>
                <c:pt idx="330">
                  <c:v>42740.75</c:v>
                </c:pt>
                <c:pt idx="331">
                  <c:v>42741.75</c:v>
                </c:pt>
                <c:pt idx="332">
                  <c:v>42744.75</c:v>
                </c:pt>
                <c:pt idx="333">
                  <c:v>42745.75</c:v>
                </c:pt>
                <c:pt idx="334">
                  <c:v>42746.75</c:v>
                </c:pt>
                <c:pt idx="335">
                  <c:v>42747.75</c:v>
                </c:pt>
                <c:pt idx="336">
                  <c:v>42748.75</c:v>
                </c:pt>
                <c:pt idx="337">
                  <c:v>42751.75</c:v>
                </c:pt>
                <c:pt idx="338">
                  <c:v>42752.75</c:v>
                </c:pt>
                <c:pt idx="339">
                  <c:v>42753.75</c:v>
                </c:pt>
                <c:pt idx="340">
                  <c:v>42754.75</c:v>
                </c:pt>
                <c:pt idx="341">
                  <c:v>42755.75</c:v>
                </c:pt>
                <c:pt idx="342">
                  <c:v>42758.75</c:v>
                </c:pt>
                <c:pt idx="343">
                  <c:v>42759.75</c:v>
                </c:pt>
                <c:pt idx="344">
                  <c:v>42760.75</c:v>
                </c:pt>
                <c:pt idx="345">
                  <c:v>42761.75</c:v>
                </c:pt>
                <c:pt idx="346">
                  <c:v>42762.75</c:v>
                </c:pt>
                <c:pt idx="347">
                  <c:v>42765.75</c:v>
                </c:pt>
                <c:pt idx="348">
                  <c:v>42766.75</c:v>
                </c:pt>
                <c:pt idx="349">
                  <c:v>42767.75</c:v>
                </c:pt>
                <c:pt idx="350">
                  <c:v>42768.75</c:v>
                </c:pt>
                <c:pt idx="351">
                  <c:v>42769.75</c:v>
                </c:pt>
                <c:pt idx="352">
                  <c:v>42772.75</c:v>
                </c:pt>
                <c:pt idx="353">
                  <c:v>42773.75</c:v>
                </c:pt>
                <c:pt idx="354">
                  <c:v>42774.75</c:v>
                </c:pt>
                <c:pt idx="355">
                  <c:v>42775.75</c:v>
                </c:pt>
                <c:pt idx="356">
                  <c:v>42776.75</c:v>
                </c:pt>
                <c:pt idx="357">
                  <c:v>42779.75</c:v>
                </c:pt>
                <c:pt idx="358">
                  <c:v>42780.75</c:v>
                </c:pt>
                <c:pt idx="359">
                  <c:v>42781.75</c:v>
                </c:pt>
                <c:pt idx="360">
                  <c:v>42782.75</c:v>
                </c:pt>
                <c:pt idx="361">
                  <c:v>42783.75</c:v>
                </c:pt>
                <c:pt idx="362">
                  <c:v>42786.75</c:v>
                </c:pt>
                <c:pt idx="363">
                  <c:v>42787.75</c:v>
                </c:pt>
                <c:pt idx="364">
                  <c:v>42788.75</c:v>
                </c:pt>
                <c:pt idx="365">
                  <c:v>42789.75</c:v>
                </c:pt>
                <c:pt idx="366">
                  <c:v>42790.75</c:v>
                </c:pt>
                <c:pt idx="367">
                  <c:v>42793.75</c:v>
                </c:pt>
                <c:pt idx="368">
                  <c:v>42794.75</c:v>
                </c:pt>
                <c:pt idx="369">
                  <c:v>42795.75</c:v>
                </c:pt>
                <c:pt idx="370">
                  <c:v>42796.75</c:v>
                </c:pt>
                <c:pt idx="371">
                  <c:v>42797.75</c:v>
                </c:pt>
                <c:pt idx="372">
                  <c:v>42800.75</c:v>
                </c:pt>
                <c:pt idx="373">
                  <c:v>42801.75</c:v>
                </c:pt>
                <c:pt idx="374">
                  <c:v>42803.75</c:v>
                </c:pt>
                <c:pt idx="375">
                  <c:v>42804.75</c:v>
                </c:pt>
                <c:pt idx="376">
                  <c:v>42807.75</c:v>
                </c:pt>
                <c:pt idx="377">
                  <c:v>42808.75</c:v>
                </c:pt>
                <c:pt idx="378">
                  <c:v>42809.75</c:v>
                </c:pt>
                <c:pt idx="379">
                  <c:v>42810.75</c:v>
                </c:pt>
                <c:pt idx="380">
                  <c:v>42811.75</c:v>
                </c:pt>
                <c:pt idx="381">
                  <c:v>42812.75</c:v>
                </c:pt>
                <c:pt idx="382">
                  <c:v>42818.75</c:v>
                </c:pt>
                <c:pt idx="383">
                  <c:v>42821.75</c:v>
                </c:pt>
                <c:pt idx="384">
                  <c:v>42822.75</c:v>
                </c:pt>
                <c:pt idx="385">
                  <c:v>42823.75</c:v>
                </c:pt>
                <c:pt idx="386">
                  <c:v>42824.75</c:v>
                </c:pt>
                <c:pt idx="387">
                  <c:v>42825.75</c:v>
                </c:pt>
                <c:pt idx="388">
                  <c:v>42828</c:v>
                </c:pt>
                <c:pt idx="389">
                  <c:v>42829</c:v>
                </c:pt>
                <c:pt idx="390">
                  <c:v>42830</c:v>
                </c:pt>
                <c:pt idx="391">
                  <c:v>42831</c:v>
                </c:pt>
                <c:pt idx="392">
                  <c:v>42832</c:v>
                </c:pt>
                <c:pt idx="393">
                  <c:v>42835</c:v>
                </c:pt>
                <c:pt idx="394">
                  <c:v>42836</c:v>
                </c:pt>
                <c:pt idx="395">
                  <c:v>42837</c:v>
                </c:pt>
                <c:pt idx="396">
                  <c:v>42838</c:v>
                </c:pt>
                <c:pt idx="397">
                  <c:v>42839</c:v>
                </c:pt>
                <c:pt idx="398">
                  <c:v>42842</c:v>
                </c:pt>
                <c:pt idx="399">
                  <c:v>42843</c:v>
                </c:pt>
                <c:pt idx="400">
                  <c:v>42844</c:v>
                </c:pt>
                <c:pt idx="401">
                  <c:v>42845</c:v>
                </c:pt>
                <c:pt idx="402">
                  <c:v>42846</c:v>
                </c:pt>
                <c:pt idx="403">
                  <c:v>42849</c:v>
                </c:pt>
                <c:pt idx="404">
                  <c:v>42850</c:v>
                </c:pt>
                <c:pt idx="405">
                  <c:v>42851</c:v>
                </c:pt>
                <c:pt idx="406">
                  <c:v>42852</c:v>
                </c:pt>
                <c:pt idx="407">
                  <c:v>42853.75</c:v>
                </c:pt>
                <c:pt idx="408">
                  <c:v>42857.75</c:v>
                </c:pt>
                <c:pt idx="409">
                  <c:v>42858.75</c:v>
                </c:pt>
                <c:pt idx="410">
                  <c:v>42859.75</c:v>
                </c:pt>
                <c:pt idx="411">
                  <c:v>42860.75</c:v>
                </c:pt>
                <c:pt idx="412">
                  <c:v>42865.75</c:v>
                </c:pt>
                <c:pt idx="413">
                  <c:v>42866.75</c:v>
                </c:pt>
                <c:pt idx="414">
                  <c:v>42867.75</c:v>
                </c:pt>
                <c:pt idx="415">
                  <c:v>42870.75</c:v>
                </c:pt>
                <c:pt idx="416">
                  <c:v>42871.75</c:v>
                </c:pt>
                <c:pt idx="417">
                  <c:v>42872.75</c:v>
                </c:pt>
                <c:pt idx="418">
                  <c:v>42873.75</c:v>
                </c:pt>
                <c:pt idx="419">
                  <c:v>42874.75</c:v>
                </c:pt>
                <c:pt idx="420">
                  <c:v>42877.75</c:v>
                </c:pt>
                <c:pt idx="421">
                  <c:v>42878.75</c:v>
                </c:pt>
                <c:pt idx="422">
                  <c:v>42879.75</c:v>
                </c:pt>
                <c:pt idx="423">
                  <c:v>42880.75</c:v>
                </c:pt>
                <c:pt idx="424">
                  <c:v>42881.75</c:v>
                </c:pt>
                <c:pt idx="425">
                  <c:v>42884.75</c:v>
                </c:pt>
                <c:pt idx="426">
                  <c:v>42885.75</c:v>
                </c:pt>
                <c:pt idx="427">
                  <c:v>42886.75</c:v>
                </c:pt>
                <c:pt idx="428">
                  <c:v>42887.75</c:v>
                </c:pt>
                <c:pt idx="429">
                  <c:v>42888.75</c:v>
                </c:pt>
                <c:pt idx="430">
                  <c:v>42891.75</c:v>
                </c:pt>
                <c:pt idx="431">
                  <c:v>42892.75</c:v>
                </c:pt>
                <c:pt idx="432">
                  <c:v>42893.75</c:v>
                </c:pt>
                <c:pt idx="433">
                  <c:v>42894.75</c:v>
                </c:pt>
                <c:pt idx="434">
                  <c:v>42895.75</c:v>
                </c:pt>
                <c:pt idx="435">
                  <c:v>42898.75</c:v>
                </c:pt>
                <c:pt idx="436">
                  <c:v>42899.75</c:v>
                </c:pt>
                <c:pt idx="437">
                  <c:v>42900.75</c:v>
                </c:pt>
                <c:pt idx="438">
                  <c:v>42901.75</c:v>
                </c:pt>
                <c:pt idx="439">
                  <c:v>42902.75</c:v>
                </c:pt>
                <c:pt idx="440">
                  <c:v>42905.75</c:v>
                </c:pt>
                <c:pt idx="441">
                  <c:v>42906.75</c:v>
                </c:pt>
                <c:pt idx="442">
                  <c:v>42907.75</c:v>
                </c:pt>
                <c:pt idx="443">
                  <c:v>42908.75</c:v>
                </c:pt>
                <c:pt idx="444">
                  <c:v>42909.75</c:v>
                </c:pt>
                <c:pt idx="445">
                  <c:v>42912.75</c:v>
                </c:pt>
                <c:pt idx="446">
                  <c:v>42913.75</c:v>
                </c:pt>
                <c:pt idx="447">
                  <c:v>42914.75</c:v>
                </c:pt>
                <c:pt idx="448">
                  <c:v>42915.75</c:v>
                </c:pt>
                <c:pt idx="449">
                  <c:v>42916.75</c:v>
                </c:pt>
                <c:pt idx="450">
                  <c:v>42917.75</c:v>
                </c:pt>
                <c:pt idx="451">
                  <c:v>42919.75</c:v>
                </c:pt>
                <c:pt idx="452">
                  <c:v>42920.75</c:v>
                </c:pt>
                <c:pt idx="453">
                  <c:v>42921.75</c:v>
                </c:pt>
                <c:pt idx="454">
                  <c:v>42926.75</c:v>
                </c:pt>
                <c:pt idx="455">
                  <c:v>42927.75</c:v>
                </c:pt>
                <c:pt idx="456">
                  <c:v>42928.75</c:v>
                </c:pt>
                <c:pt idx="457">
                  <c:v>42929.75</c:v>
                </c:pt>
                <c:pt idx="458">
                  <c:v>42930.75</c:v>
                </c:pt>
                <c:pt idx="459">
                  <c:v>42933.75</c:v>
                </c:pt>
                <c:pt idx="460">
                  <c:v>42934.75</c:v>
                </c:pt>
              </c:numCache>
            </c:numRef>
          </c:cat>
          <c:val>
            <c:numRef>
              <c:f>'TONIA 06.01.2017'!$H$3:$H$463</c:f>
              <c:numCache>
                <c:formatCode>General</c:formatCode>
                <c:ptCount val="461"/>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pt idx="44">
                  <c:v>17</c:v>
                </c:pt>
                <c:pt idx="45">
                  <c:v>17</c:v>
                </c:pt>
                <c:pt idx="46">
                  <c:v>17</c:v>
                </c:pt>
                <c:pt idx="47">
                  <c:v>17</c:v>
                </c:pt>
                <c:pt idx="103">
                  <c:v>19</c:v>
                </c:pt>
                <c:pt idx="104">
                  <c:v>19</c:v>
                </c:pt>
                <c:pt idx="105">
                  <c:v>19</c:v>
                </c:pt>
                <c:pt idx="106">
                  <c:v>19</c:v>
                </c:pt>
                <c:pt idx="107">
                  <c:v>19</c:v>
                </c:pt>
                <c:pt idx="108">
                  <c:v>19</c:v>
                </c:pt>
                <c:pt idx="109">
                  <c:v>19</c:v>
                </c:pt>
                <c:pt idx="110">
                  <c:v>19</c:v>
                </c:pt>
                <c:pt idx="111">
                  <c:v>19</c:v>
                </c:pt>
                <c:pt idx="112">
                  <c:v>19</c:v>
                </c:pt>
                <c:pt idx="113">
                  <c:v>19</c:v>
                </c:pt>
                <c:pt idx="114">
                  <c:v>19</c:v>
                </c:pt>
                <c:pt idx="115">
                  <c:v>19</c:v>
                </c:pt>
                <c:pt idx="116">
                  <c:v>19</c:v>
                </c:pt>
                <c:pt idx="117">
                  <c:v>19</c:v>
                </c:pt>
                <c:pt idx="118">
                  <c:v>19</c:v>
                </c:pt>
                <c:pt idx="119">
                  <c:v>19</c:v>
                </c:pt>
                <c:pt idx="120">
                  <c:v>19</c:v>
                </c:pt>
                <c:pt idx="121">
                  <c:v>19</c:v>
                </c:pt>
                <c:pt idx="122">
                  <c:v>19</c:v>
                </c:pt>
                <c:pt idx="123">
                  <c:v>19</c:v>
                </c:pt>
                <c:pt idx="124">
                  <c:v>19</c:v>
                </c:pt>
                <c:pt idx="125">
                  <c:v>19</c:v>
                </c:pt>
                <c:pt idx="126">
                  <c:v>19</c:v>
                </c:pt>
                <c:pt idx="127">
                  <c:v>19</c:v>
                </c:pt>
                <c:pt idx="128">
                  <c:v>19</c:v>
                </c:pt>
                <c:pt idx="129">
                  <c:v>19</c:v>
                </c:pt>
                <c:pt idx="130">
                  <c:v>19</c:v>
                </c:pt>
                <c:pt idx="131">
                  <c:v>19</c:v>
                </c:pt>
                <c:pt idx="132">
                  <c:v>19</c:v>
                </c:pt>
                <c:pt idx="133">
                  <c:v>19</c:v>
                </c:pt>
                <c:pt idx="134">
                  <c:v>19</c:v>
                </c:pt>
                <c:pt idx="135">
                  <c:v>19</c:v>
                </c:pt>
                <c:pt idx="136">
                  <c:v>19</c:v>
                </c:pt>
                <c:pt idx="137">
                  <c:v>19</c:v>
                </c:pt>
                <c:pt idx="138">
                  <c:v>19</c:v>
                </c:pt>
                <c:pt idx="139">
                  <c:v>19</c:v>
                </c:pt>
                <c:pt idx="140">
                  <c:v>19</c:v>
                </c:pt>
                <c:pt idx="141">
                  <c:v>19</c:v>
                </c:pt>
                <c:pt idx="142">
                  <c:v>19</c:v>
                </c:pt>
                <c:pt idx="143">
                  <c:v>19</c:v>
                </c:pt>
                <c:pt idx="144">
                  <c:v>19</c:v>
                </c:pt>
                <c:pt idx="145">
                  <c:v>19</c:v>
                </c:pt>
                <c:pt idx="146">
                  <c:v>19</c:v>
                </c:pt>
                <c:pt idx="147">
                  <c:v>19</c:v>
                </c:pt>
                <c:pt idx="148">
                  <c:v>19</c:v>
                </c:pt>
                <c:pt idx="149">
                  <c:v>19</c:v>
                </c:pt>
                <c:pt idx="150">
                  <c:v>19</c:v>
                </c:pt>
                <c:pt idx="151">
                  <c:v>19</c:v>
                </c:pt>
                <c:pt idx="152">
                  <c:v>19</c:v>
                </c:pt>
                <c:pt idx="153">
                  <c:v>19</c:v>
                </c:pt>
                <c:pt idx="154">
                  <c:v>19</c:v>
                </c:pt>
                <c:pt idx="155">
                  <c:v>19</c:v>
                </c:pt>
                <c:pt idx="156">
                  <c:v>19</c:v>
                </c:pt>
                <c:pt idx="157">
                  <c:v>19</c:v>
                </c:pt>
                <c:pt idx="158">
                  <c:v>19</c:v>
                </c:pt>
                <c:pt idx="159">
                  <c:v>19</c:v>
                </c:pt>
                <c:pt idx="160">
                  <c:v>19</c:v>
                </c:pt>
                <c:pt idx="161">
                  <c:v>19</c:v>
                </c:pt>
                <c:pt idx="162">
                  <c:v>19</c:v>
                </c:pt>
                <c:pt idx="163">
                  <c:v>19</c:v>
                </c:pt>
                <c:pt idx="164">
                  <c:v>19</c:v>
                </c:pt>
                <c:pt idx="165">
                  <c:v>19</c:v>
                </c:pt>
                <c:pt idx="166">
                  <c:v>16</c:v>
                </c:pt>
                <c:pt idx="167">
                  <c:v>16</c:v>
                </c:pt>
                <c:pt idx="168">
                  <c:v>16</c:v>
                </c:pt>
                <c:pt idx="169">
                  <c:v>16</c:v>
                </c:pt>
                <c:pt idx="170">
                  <c:v>16</c:v>
                </c:pt>
                <c:pt idx="171">
                  <c:v>16</c:v>
                </c:pt>
                <c:pt idx="172">
                  <c:v>16</c:v>
                </c:pt>
                <c:pt idx="173">
                  <c:v>16</c:v>
                </c:pt>
                <c:pt idx="174">
                  <c:v>16</c:v>
                </c:pt>
                <c:pt idx="175">
                  <c:v>16</c:v>
                </c:pt>
                <c:pt idx="176">
                  <c:v>16</c:v>
                </c:pt>
                <c:pt idx="177">
                  <c:v>16</c:v>
                </c:pt>
                <c:pt idx="178">
                  <c:v>16</c:v>
                </c:pt>
                <c:pt idx="179">
                  <c:v>16</c:v>
                </c:pt>
                <c:pt idx="180">
                  <c:v>16</c:v>
                </c:pt>
                <c:pt idx="181">
                  <c:v>16</c:v>
                </c:pt>
                <c:pt idx="182">
                  <c:v>16</c:v>
                </c:pt>
                <c:pt idx="183">
                  <c:v>16</c:v>
                </c:pt>
                <c:pt idx="184">
                  <c:v>16</c:v>
                </c:pt>
                <c:pt idx="185">
                  <c:v>16</c:v>
                </c:pt>
                <c:pt idx="186">
                  <c:v>16</c:v>
                </c:pt>
                <c:pt idx="187">
                  <c:v>16</c:v>
                </c:pt>
                <c:pt idx="188">
                  <c:v>16</c:v>
                </c:pt>
                <c:pt idx="189">
                  <c:v>16</c:v>
                </c:pt>
                <c:pt idx="190">
                  <c:v>16</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16</c:v>
                </c:pt>
                <c:pt idx="204">
                  <c:v>16</c:v>
                </c:pt>
                <c:pt idx="205">
                  <c:v>16</c:v>
                </c:pt>
                <c:pt idx="206">
                  <c:v>16</c:v>
                </c:pt>
                <c:pt idx="207">
                  <c:v>16</c:v>
                </c:pt>
                <c:pt idx="208">
                  <c:v>16</c:v>
                </c:pt>
                <c:pt idx="209">
                  <c:v>14</c:v>
                </c:pt>
                <c:pt idx="210">
                  <c:v>14</c:v>
                </c:pt>
                <c:pt idx="211">
                  <c:v>14</c:v>
                </c:pt>
                <c:pt idx="212">
                  <c:v>14</c:v>
                </c:pt>
                <c:pt idx="213">
                  <c:v>14</c:v>
                </c:pt>
                <c:pt idx="214">
                  <c:v>14</c:v>
                </c:pt>
                <c:pt idx="215">
                  <c:v>14</c:v>
                </c:pt>
                <c:pt idx="216">
                  <c:v>14</c:v>
                </c:pt>
                <c:pt idx="217">
                  <c:v>14</c:v>
                </c:pt>
                <c:pt idx="218">
                  <c:v>14</c:v>
                </c:pt>
                <c:pt idx="219">
                  <c:v>14</c:v>
                </c:pt>
                <c:pt idx="220">
                  <c:v>14</c:v>
                </c:pt>
                <c:pt idx="221">
                  <c:v>14</c:v>
                </c:pt>
                <c:pt idx="222">
                  <c:v>14</c:v>
                </c:pt>
                <c:pt idx="223">
                  <c:v>14</c:v>
                </c:pt>
                <c:pt idx="224">
                  <c:v>14</c:v>
                </c:pt>
                <c:pt idx="225">
                  <c:v>14</c:v>
                </c:pt>
                <c:pt idx="226">
                  <c:v>14</c:v>
                </c:pt>
                <c:pt idx="227">
                  <c:v>14</c:v>
                </c:pt>
                <c:pt idx="228">
                  <c:v>14</c:v>
                </c:pt>
                <c:pt idx="229">
                  <c:v>14</c:v>
                </c:pt>
                <c:pt idx="230">
                  <c:v>14</c:v>
                </c:pt>
                <c:pt idx="231">
                  <c:v>14</c:v>
                </c:pt>
                <c:pt idx="232">
                  <c:v>14</c:v>
                </c:pt>
                <c:pt idx="233">
                  <c:v>14</c:v>
                </c:pt>
                <c:pt idx="234">
                  <c:v>14</c:v>
                </c:pt>
                <c:pt idx="235">
                  <c:v>14</c:v>
                </c:pt>
                <c:pt idx="236">
                  <c:v>14</c:v>
                </c:pt>
                <c:pt idx="237">
                  <c:v>14</c:v>
                </c:pt>
                <c:pt idx="238">
                  <c:v>14</c:v>
                </c:pt>
                <c:pt idx="239">
                  <c:v>14</c:v>
                </c:pt>
                <c:pt idx="240">
                  <c:v>14</c:v>
                </c:pt>
                <c:pt idx="241">
                  <c:v>14</c:v>
                </c:pt>
                <c:pt idx="242">
                  <c:v>14</c:v>
                </c:pt>
                <c:pt idx="243">
                  <c:v>14</c:v>
                </c:pt>
                <c:pt idx="244">
                  <c:v>14</c:v>
                </c:pt>
                <c:pt idx="245">
                  <c:v>14</c:v>
                </c:pt>
                <c:pt idx="246">
                  <c:v>14</c:v>
                </c:pt>
                <c:pt idx="247">
                  <c:v>14</c:v>
                </c:pt>
                <c:pt idx="248">
                  <c:v>14</c:v>
                </c:pt>
                <c:pt idx="249">
                  <c:v>14</c:v>
                </c:pt>
                <c:pt idx="250">
                  <c:v>14</c:v>
                </c:pt>
                <c:pt idx="251">
                  <c:v>14</c:v>
                </c:pt>
                <c:pt idx="252">
                  <c:v>14</c:v>
                </c:pt>
                <c:pt idx="253">
                  <c:v>14</c:v>
                </c:pt>
                <c:pt idx="254">
                  <c:v>14</c:v>
                </c:pt>
                <c:pt idx="255">
                  <c:v>14</c:v>
                </c:pt>
                <c:pt idx="256">
                  <c:v>14</c:v>
                </c:pt>
                <c:pt idx="257">
                  <c:v>14</c:v>
                </c:pt>
                <c:pt idx="258">
                  <c:v>14</c:v>
                </c:pt>
                <c:pt idx="259">
                  <c:v>14</c:v>
                </c:pt>
                <c:pt idx="260">
                  <c:v>14</c:v>
                </c:pt>
                <c:pt idx="261">
                  <c:v>14</c:v>
                </c:pt>
                <c:pt idx="262">
                  <c:v>14</c:v>
                </c:pt>
                <c:pt idx="263">
                  <c:v>14</c:v>
                </c:pt>
                <c:pt idx="264">
                  <c:v>14</c:v>
                </c:pt>
                <c:pt idx="265">
                  <c:v>14</c:v>
                </c:pt>
                <c:pt idx="266">
                  <c:v>14</c:v>
                </c:pt>
                <c:pt idx="267">
                  <c:v>14</c:v>
                </c:pt>
                <c:pt idx="268">
                  <c:v>13.5</c:v>
                </c:pt>
                <c:pt idx="269">
                  <c:v>13.5</c:v>
                </c:pt>
                <c:pt idx="270">
                  <c:v>13.5</c:v>
                </c:pt>
                <c:pt idx="271">
                  <c:v>13.5</c:v>
                </c:pt>
                <c:pt idx="272">
                  <c:v>13.5</c:v>
                </c:pt>
                <c:pt idx="273">
                  <c:v>13.5</c:v>
                </c:pt>
                <c:pt idx="274">
                  <c:v>13.5</c:v>
                </c:pt>
                <c:pt idx="275">
                  <c:v>13.5</c:v>
                </c:pt>
                <c:pt idx="276">
                  <c:v>13.5</c:v>
                </c:pt>
                <c:pt idx="277">
                  <c:v>13.5</c:v>
                </c:pt>
                <c:pt idx="278">
                  <c:v>13.5</c:v>
                </c:pt>
                <c:pt idx="279">
                  <c:v>13.5</c:v>
                </c:pt>
                <c:pt idx="280">
                  <c:v>13.5</c:v>
                </c:pt>
                <c:pt idx="281">
                  <c:v>13.5</c:v>
                </c:pt>
                <c:pt idx="282">
                  <c:v>13.5</c:v>
                </c:pt>
                <c:pt idx="283">
                  <c:v>13.5</c:v>
                </c:pt>
                <c:pt idx="284">
                  <c:v>13.5</c:v>
                </c:pt>
                <c:pt idx="285">
                  <c:v>13.5</c:v>
                </c:pt>
                <c:pt idx="286">
                  <c:v>13.5</c:v>
                </c:pt>
                <c:pt idx="287">
                  <c:v>13.5</c:v>
                </c:pt>
                <c:pt idx="288">
                  <c:v>13.5</c:v>
                </c:pt>
                <c:pt idx="289">
                  <c:v>13.5</c:v>
                </c:pt>
                <c:pt idx="290">
                  <c:v>13.5</c:v>
                </c:pt>
                <c:pt idx="291">
                  <c:v>13.5</c:v>
                </c:pt>
                <c:pt idx="292">
                  <c:v>13.5</c:v>
                </c:pt>
                <c:pt idx="293">
                  <c:v>13.5</c:v>
                </c:pt>
                <c:pt idx="294">
                  <c:v>13.5</c:v>
                </c:pt>
                <c:pt idx="295">
                  <c:v>13.5</c:v>
                </c:pt>
                <c:pt idx="296">
                  <c:v>13.5</c:v>
                </c:pt>
                <c:pt idx="297">
                  <c:v>13.5</c:v>
                </c:pt>
                <c:pt idx="298">
                  <c:v>13</c:v>
                </c:pt>
                <c:pt idx="299">
                  <c:v>13</c:v>
                </c:pt>
                <c:pt idx="300">
                  <c:v>13</c:v>
                </c:pt>
                <c:pt idx="301">
                  <c:v>13</c:v>
                </c:pt>
                <c:pt idx="302">
                  <c:v>13</c:v>
                </c:pt>
                <c:pt idx="303">
                  <c:v>13</c:v>
                </c:pt>
                <c:pt idx="304">
                  <c:v>13</c:v>
                </c:pt>
                <c:pt idx="305">
                  <c:v>13</c:v>
                </c:pt>
                <c:pt idx="306">
                  <c:v>13</c:v>
                </c:pt>
                <c:pt idx="307">
                  <c:v>13</c:v>
                </c:pt>
                <c:pt idx="308">
                  <c:v>13</c:v>
                </c:pt>
                <c:pt idx="309">
                  <c:v>13</c:v>
                </c:pt>
                <c:pt idx="310">
                  <c:v>13</c:v>
                </c:pt>
                <c:pt idx="311">
                  <c:v>13</c:v>
                </c:pt>
                <c:pt idx="312">
                  <c:v>13</c:v>
                </c:pt>
                <c:pt idx="313">
                  <c:v>13</c:v>
                </c:pt>
                <c:pt idx="314">
                  <c:v>13</c:v>
                </c:pt>
                <c:pt idx="315">
                  <c:v>13</c:v>
                </c:pt>
                <c:pt idx="316">
                  <c:v>13</c:v>
                </c:pt>
                <c:pt idx="317">
                  <c:v>13</c:v>
                </c:pt>
                <c:pt idx="318">
                  <c:v>13</c:v>
                </c:pt>
                <c:pt idx="319">
                  <c:v>13</c:v>
                </c:pt>
                <c:pt idx="320">
                  <c:v>13</c:v>
                </c:pt>
                <c:pt idx="321">
                  <c:v>13</c:v>
                </c:pt>
                <c:pt idx="322">
                  <c:v>13</c:v>
                </c:pt>
                <c:pt idx="323">
                  <c:v>13</c:v>
                </c:pt>
                <c:pt idx="324">
                  <c:v>13</c:v>
                </c:pt>
                <c:pt idx="325">
                  <c:v>13</c:v>
                </c:pt>
                <c:pt idx="326">
                  <c:v>13</c:v>
                </c:pt>
                <c:pt idx="327">
                  <c:v>13</c:v>
                </c:pt>
                <c:pt idx="328">
                  <c:v>13</c:v>
                </c:pt>
                <c:pt idx="329">
                  <c:v>13</c:v>
                </c:pt>
                <c:pt idx="330">
                  <c:v>13</c:v>
                </c:pt>
                <c:pt idx="331">
                  <c:v>13</c:v>
                </c:pt>
                <c:pt idx="332">
                  <c:v>13</c:v>
                </c:pt>
                <c:pt idx="333">
                  <c:v>13</c:v>
                </c:pt>
                <c:pt idx="334">
                  <c:v>13</c:v>
                </c:pt>
                <c:pt idx="335">
                  <c:v>13</c:v>
                </c:pt>
                <c:pt idx="336">
                  <c:v>13</c:v>
                </c:pt>
                <c:pt idx="337">
                  <c:v>13</c:v>
                </c:pt>
                <c:pt idx="338">
                  <c:v>13</c:v>
                </c:pt>
                <c:pt idx="339">
                  <c:v>13</c:v>
                </c:pt>
                <c:pt idx="340">
                  <c:v>13</c:v>
                </c:pt>
                <c:pt idx="341">
                  <c:v>13</c:v>
                </c:pt>
                <c:pt idx="342">
                  <c:v>13</c:v>
                </c:pt>
                <c:pt idx="343">
                  <c:v>13</c:v>
                </c:pt>
                <c:pt idx="344">
                  <c:v>13</c:v>
                </c:pt>
                <c:pt idx="345">
                  <c:v>13</c:v>
                </c:pt>
                <c:pt idx="346">
                  <c:v>13</c:v>
                </c:pt>
                <c:pt idx="347">
                  <c:v>13</c:v>
                </c:pt>
                <c:pt idx="348">
                  <c:v>13</c:v>
                </c:pt>
                <c:pt idx="349">
                  <c:v>13</c:v>
                </c:pt>
                <c:pt idx="350">
                  <c:v>13</c:v>
                </c:pt>
                <c:pt idx="351">
                  <c:v>13</c:v>
                </c:pt>
                <c:pt idx="352">
                  <c:v>13</c:v>
                </c:pt>
                <c:pt idx="353">
                  <c:v>13</c:v>
                </c:pt>
                <c:pt idx="354">
                  <c:v>13</c:v>
                </c:pt>
                <c:pt idx="355">
                  <c:v>13</c:v>
                </c:pt>
                <c:pt idx="356">
                  <c:v>13</c:v>
                </c:pt>
                <c:pt idx="357">
                  <c:v>13</c:v>
                </c:pt>
                <c:pt idx="358">
                  <c:v>13</c:v>
                </c:pt>
                <c:pt idx="359">
                  <c:v>13</c:v>
                </c:pt>
                <c:pt idx="360">
                  <c:v>13</c:v>
                </c:pt>
                <c:pt idx="361">
                  <c:v>13</c:v>
                </c:pt>
                <c:pt idx="362">
                  <c:v>13</c:v>
                </c:pt>
                <c:pt idx="363">
                  <c:v>12</c:v>
                </c:pt>
                <c:pt idx="364">
                  <c:v>12</c:v>
                </c:pt>
                <c:pt idx="365">
                  <c:v>12</c:v>
                </c:pt>
                <c:pt idx="366">
                  <c:v>12</c:v>
                </c:pt>
                <c:pt idx="367">
                  <c:v>12</c:v>
                </c:pt>
                <c:pt idx="368">
                  <c:v>12</c:v>
                </c:pt>
                <c:pt idx="369">
                  <c:v>12</c:v>
                </c:pt>
                <c:pt idx="370">
                  <c:v>12</c:v>
                </c:pt>
                <c:pt idx="371">
                  <c:v>12</c:v>
                </c:pt>
                <c:pt idx="372">
                  <c:v>12</c:v>
                </c:pt>
                <c:pt idx="373">
                  <c:v>12</c:v>
                </c:pt>
                <c:pt idx="374">
                  <c:v>12</c:v>
                </c:pt>
                <c:pt idx="375">
                  <c:v>12</c:v>
                </c:pt>
                <c:pt idx="376">
                  <c:v>12</c:v>
                </c:pt>
                <c:pt idx="377">
                  <c:v>12</c:v>
                </c:pt>
                <c:pt idx="378">
                  <c:v>12</c:v>
                </c:pt>
                <c:pt idx="379">
                  <c:v>12</c:v>
                </c:pt>
                <c:pt idx="380">
                  <c:v>12</c:v>
                </c:pt>
                <c:pt idx="381">
                  <c:v>12</c:v>
                </c:pt>
                <c:pt idx="382">
                  <c:v>12</c:v>
                </c:pt>
                <c:pt idx="383">
                  <c:v>12</c:v>
                </c:pt>
                <c:pt idx="384">
                  <c:v>12</c:v>
                </c:pt>
                <c:pt idx="385">
                  <c:v>12</c:v>
                </c:pt>
                <c:pt idx="386">
                  <c:v>12</c:v>
                </c:pt>
                <c:pt idx="387">
                  <c:v>12</c:v>
                </c:pt>
                <c:pt idx="388">
                  <c:v>12</c:v>
                </c:pt>
                <c:pt idx="389">
                  <c:v>12</c:v>
                </c:pt>
                <c:pt idx="390">
                  <c:v>12</c:v>
                </c:pt>
                <c:pt idx="391">
                  <c:v>12</c:v>
                </c:pt>
                <c:pt idx="392">
                  <c:v>12</c:v>
                </c:pt>
                <c:pt idx="393">
                  <c:v>12</c:v>
                </c:pt>
                <c:pt idx="394">
                  <c:v>12</c:v>
                </c:pt>
                <c:pt idx="395">
                  <c:v>12</c:v>
                </c:pt>
                <c:pt idx="396">
                  <c:v>12</c:v>
                </c:pt>
                <c:pt idx="397">
                  <c:v>12</c:v>
                </c:pt>
                <c:pt idx="398">
                  <c:v>12</c:v>
                </c:pt>
                <c:pt idx="399">
                  <c:v>12</c:v>
                </c:pt>
                <c:pt idx="400">
                  <c:v>12</c:v>
                </c:pt>
                <c:pt idx="401">
                  <c:v>12</c:v>
                </c:pt>
                <c:pt idx="402">
                  <c:v>12</c:v>
                </c:pt>
                <c:pt idx="403">
                  <c:v>12</c:v>
                </c:pt>
                <c:pt idx="404">
                  <c:v>12</c:v>
                </c:pt>
                <c:pt idx="405">
                  <c:v>12</c:v>
                </c:pt>
                <c:pt idx="406">
                  <c:v>12</c:v>
                </c:pt>
                <c:pt idx="407">
                  <c:v>12</c:v>
                </c:pt>
                <c:pt idx="408">
                  <c:v>12</c:v>
                </c:pt>
                <c:pt idx="409">
                  <c:v>12</c:v>
                </c:pt>
                <c:pt idx="410">
                  <c:v>12</c:v>
                </c:pt>
                <c:pt idx="411">
                  <c:v>12</c:v>
                </c:pt>
                <c:pt idx="412">
                  <c:v>12</c:v>
                </c:pt>
                <c:pt idx="413">
                  <c:v>12</c:v>
                </c:pt>
                <c:pt idx="414">
                  <c:v>12</c:v>
                </c:pt>
                <c:pt idx="415">
                  <c:v>12</c:v>
                </c:pt>
                <c:pt idx="416">
                  <c:v>12</c:v>
                </c:pt>
                <c:pt idx="417">
                  <c:v>12</c:v>
                </c:pt>
                <c:pt idx="418">
                  <c:v>12</c:v>
                </c:pt>
                <c:pt idx="419">
                  <c:v>12</c:v>
                </c:pt>
                <c:pt idx="420">
                  <c:v>12</c:v>
                </c:pt>
                <c:pt idx="421">
                  <c:v>12</c:v>
                </c:pt>
                <c:pt idx="422">
                  <c:v>12</c:v>
                </c:pt>
                <c:pt idx="423">
                  <c:v>12</c:v>
                </c:pt>
                <c:pt idx="424">
                  <c:v>12</c:v>
                </c:pt>
                <c:pt idx="425">
                  <c:v>12</c:v>
                </c:pt>
                <c:pt idx="426">
                  <c:v>12</c:v>
                </c:pt>
                <c:pt idx="427">
                  <c:v>12</c:v>
                </c:pt>
                <c:pt idx="428">
                  <c:v>12</c:v>
                </c:pt>
                <c:pt idx="429">
                  <c:v>12</c:v>
                </c:pt>
                <c:pt idx="430">
                  <c:v>12</c:v>
                </c:pt>
                <c:pt idx="431">
                  <c:v>12</c:v>
                </c:pt>
                <c:pt idx="432">
                  <c:v>11.5</c:v>
                </c:pt>
                <c:pt idx="433">
                  <c:v>11.5</c:v>
                </c:pt>
                <c:pt idx="434">
                  <c:v>11.5</c:v>
                </c:pt>
                <c:pt idx="435">
                  <c:v>11.5</c:v>
                </c:pt>
                <c:pt idx="436">
                  <c:v>11.5</c:v>
                </c:pt>
                <c:pt idx="437">
                  <c:v>11.5</c:v>
                </c:pt>
                <c:pt idx="438">
                  <c:v>11.5</c:v>
                </c:pt>
                <c:pt idx="439">
                  <c:v>11.5</c:v>
                </c:pt>
                <c:pt idx="440">
                  <c:v>11.5</c:v>
                </c:pt>
                <c:pt idx="441">
                  <c:v>11.5</c:v>
                </c:pt>
                <c:pt idx="442">
                  <c:v>11.5</c:v>
                </c:pt>
                <c:pt idx="443">
                  <c:v>11.5</c:v>
                </c:pt>
                <c:pt idx="444">
                  <c:v>11.5</c:v>
                </c:pt>
                <c:pt idx="445">
                  <c:v>11.5</c:v>
                </c:pt>
                <c:pt idx="446">
                  <c:v>11.5</c:v>
                </c:pt>
                <c:pt idx="447">
                  <c:v>11.5</c:v>
                </c:pt>
                <c:pt idx="448">
                  <c:v>11.5</c:v>
                </c:pt>
                <c:pt idx="449">
                  <c:v>11.5</c:v>
                </c:pt>
                <c:pt idx="450">
                  <c:v>11.5</c:v>
                </c:pt>
                <c:pt idx="451">
                  <c:v>11.5</c:v>
                </c:pt>
                <c:pt idx="452">
                  <c:v>11.5</c:v>
                </c:pt>
                <c:pt idx="453">
                  <c:v>11.5</c:v>
                </c:pt>
                <c:pt idx="454">
                  <c:v>11.5</c:v>
                </c:pt>
                <c:pt idx="455">
                  <c:v>11.5</c:v>
                </c:pt>
                <c:pt idx="456">
                  <c:v>11.5</c:v>
                </c:pt>
                <c:pt idx="457">
                  <c:v>11.5</c:v>
                </c:pt>
                <c:pt idx="458">
                  <c:v>11.5</c:v>
                </c:pt>
                <c:pt idx="459">
                  <c:v>11.5</c:v>
                </c:pt>
                <c:pt idx="460">
                  <c:v>11.5</c:v>
                </c:pt>
              </c:numCache>
            </c:numRef>
          </c:val>
          <c:smooth val="0"/>
          <c:extLst xmlns:c16r2="http://schemas.microsoft.com/office/drawing/2015/06/chart">
            <c:ext xmlns:c16="http://schemas.microsoft.com/office/drawing/2014/chart" uri="{C3380CC4-5D6E-409C-BE32-E72D297353CC}">
              <c16:uniqueId val="{00000001-F609-4388-B3D5-CA8D5141E73D}"/>
            </c:ext>
          </c:extLst>
        </c:ser>
        <c:ser>
          <c:idx val="0"/>
          <c:order val="2"/>
          <c:tx>
            <c:v>TONIA</c:v>
          </c:tx>
          <c:spPr>
            <a:ln w="22225">
              <a:solidFill>
                <a:srgbClr val="166F43"/>
              </a:solidFill>
            </a:ln>
          </c:spPr>
          <c:marker>
            <c:symbol val="none"/>
          </c:marker>
          <c:cat>
            <c:numRef>
              <c:f>'TONIA 06.01.2017'!$A$3:$A$463</c:f>
              <c:numCache>
                <c:formatCode>dd\.mm\.yy</c:formatCode>
                <c:ptCount val="461"/>
                <c:pt idx="0">
                  <c:v>42248.75</c:v>
                </c:pt>
                <c:pt idx="1">
                  <c:v>42249.75</c:v>
                </c:pt>
                <c:pt idx="2">
                  <c:v>42250.75</c:v>
                </c:pt>
                <c:pt idx="3">
                  <c:v>42251.75</c:v>
                </c:pt>
                <c:pt idx="4">
                  <c:v>42254.75</c:v>
                </c:pt>
                <c:pt idx="5">
                  <c:v>42255.75</c:v>
                </c:pt>
                <c:pt idx="6">
                  <c:v>42256.75</c:v>
                </c:pt>
                <c:pt idx="7">
                  <c:v>42257.75</c:v>
                </c:pt>
                <c:pt idx="8">
                  <c:v>42258.75</c:v>
                </c:pt>
                <c:pt idx="9">
                  <c:v>42261.75</c:v>
                </c:pt>
                <c:pt idx="10">
                  <c:v>42262.75</c:v>
                </c:pt>
                <c:pt idx="11">
                  <c:v>42263.75</c:v>
                </c:pt>
                <c:pt idx="12">
                  <c:v>42264.75</c:v>
                </c:pt>
                <c:pt idx="13">
                  <c:v>42265.75</c:v>
                </c:pt>
                <c:pt idx="14">
                  <c:v>42268.75</c:v>
                </c:pt>
                <c:pt idx="15">
                  <c:v>42269.75</c:v>
                </c:pt>
                <c:pt idx="16">
                  <c:v>42270.75</c:v>
                </c:pt>
                <c:pt idx="17">
                  <c:v>42272.75</c:v>
                </c:pt>
                <c:pt idx="18">
                  <c:v>42275.75</c:v>
                </c:pt>
                <c:pt idx="19">
                  <c:v>42276.75</c:v>
                </c:pt>
                <c:pt idx="20">
                  <c:v>42277.75</c:v>
                </c:pt>
                <c:pt idx="21">
                  <c:v>42278.75</c:v>
                </c:pt>
                <c:pt idx="22">
                  <c:v>42279.75</c:v>
                </c:pt>
                <c:pt idx="23">
                  <c:v>42282.75</c:v>
                </c:pt>
                <c:pt idx="24">
                  <c:v>42283.75</c:v>
                </c:pt>
                <c:pt idx="25">
                  <c:v>42284.75</c:v>
                </c:pt>
                <c:pt idx="26">
                  <c:v>42285.75</c:v>
                </c:pt>
                <c:pt idx="27">
                  <c:v>42286.75</c:v>
                </c:pt>
                <c:pt idx="28">
                  <c:v>42289.75</c:v>
                </c:pt>
                <c:pt idx="29">
                  <c:v>42290.75</c:v>
                </c:pt>
                <c:pt idx="30">
                  <c:v>42291.75</c:v>
                </c:pt>
                <c:pt idx="31">
                  <c:v>42292.75</c:v>
                </c:pt>
                <c:pt idx="32">
                  <c:v>42293.75</c:v>
                </c:pt>
                <c:pt idx="33">
                  <c:v>42296.75</c:v>
                </c:pt>
                <c:pt idx="34">
                  <c:v>42297.75</c:v>
                </c:pt>
                <c:pt idx="35">
                  <c:v>42298.75</c:v>
                </c:pt>
                <c:pt idx="36">
                  <c:v>42299.75</c:v>
                </c:pt>
                <c:pt idx="37">
                  <c:v>42300.75</c:v>
                </c:pt>
                <c:pt idx="38">
                  <c:v>42303.75</c:v>
                </c:pt>
                <c:pt idx="39">
                  <c:v>42304.75</c:v>
                </c:pt>
                <c:pt idx="40">
                  <c:v>42305.75</c:v>
                </c:pt>
                <c:pt idx="41">
                  <c:v>42306.75</c:v>
                </c:pt>
                <c:pt idx="42">
                  <c:v>42307.75</c:v>
                </c:pt>
                <c:pt idx="43">
                  <c:v>42310.75</c:v>
                </c:pt>
                <c:pt idx="44">
                  <c:v>42311.75</c:v>
                </c:pt>
                <c:pt idx="45">
                  <c:v>42312.75</c:v>
                </c:pt>
                <c:pt idx="46">
                  <c:v>42313.75</c:v>
                </c:pt>
                <c:pt idx="47">
                  <c:v>42314.75</c:v>
                </c:pt>
                <c:pt idx="48">
                  <c:v>42317.75</c:v>
                </c:pt>
                <c:pt idx="49">
                  <c:v>42318.75</c:v>
                </c:pt>
                <c:pt idx="50">
                  <c:v>42319.75</c:v>
                </c:pt>
                <c:pt idx="51">
                  <c:v>42320.75</c:v>
                </c:pt>
                <c:pt idx="52">
                  <c:v>42321.75</c:v>
                </c:pt>
                <c:pt idx="53">
                  <c:v>42324.75</c:v>
                </c:pt>
                <c:pt idx="54">
                  <c:v>42325.75</c:v>
                </c:pt>
                <c:pt idx="55">
                  <c:v>42326.75</c:v>
                </c:pt>
                <c:pt idx="56">
                  <c:v>42327.75</c:v>
                </c:pt>
                <c:pt idx="57">
                  <c:v>42328.75</c:v>
                </c:pt>
                <c:pt idx="58">
                  <c:v>42331.75</c:v>
                </c:pt>
                <c:pt idx="59">
                  <c:v>42332.75</c:v>
                </c:pt>
                <c:pt idx="60">
                  <c:v>42333.75</c:v>
                </c:pt>
                <c:pt idx="61">
                  <c:v>42334.75</c:v>
                </c:pt>
                <c:pt idx="62">
                  <c:v>42335.75</c:v>
                </c:pt>
                <c:pt idx="63">
                  <c:v>42338.75</c:v>
                </c:pt>
                <c:pt idx="64">
                  <c:v>42340.75</c:v>
                </c:pt>
                <c:pt idx="65">
                  <c:v>42341.75</c:v>
                </c:pt>
                <c:pt idx="66">
                  <c:v>42342.75</c:v>
                </c:pt>
                <c:pt idx="67">
                  <c:v>42345.75</c:v>
                </c:pt>
                <c:pt idx="68">
                  <c:v>42346.75</c:v>
                </c:pt>
                <c:pt idx="69">
                  <c:v>42347.75</c:v>
                </c:pt>
                <c:pt idx="70">
                  <c:v>42348.75</c:v>
                </c:pt>
                <c:pt idx="71">
                  <c:v>42349.75</c:v>
                </c:pt>
                <c:pt idx="72">
                  <c:v>42352.75</c:v>
                </c:pt>
                <c:pt idx="73">
                  <c:v>42353.75</c:v>
                </c:pt>
                <c:pt idx="74">
                  <c:v>42356.75</c:v>
                </c:pt>
                <c:pt idx="75">
                  <c:v>42359.75</c:v>
                </c:pt>
                <c:pt idx="76">
                  <c:v>42360.75</c:v>
                </c:pt>
                <c:pt idx="77">
                  <c:v>42361.75</c:v>
                </c:pt>
                <c:pt idx="78">
                  <c:v>42362.75</c:v>
                </c:pt>
                <c:pt idx="79">
                  <c:v>42363.75</c:v>
                </c:pt>
                <c:pt idx="80">
                  <c:v>42366.75</c:v>
                </c:pt>
                <c:pt idx="81">
                  <c:v>42367.75</c:v>
                </c:pt>
                <c:pt idx="82">
                  <c:v>42368.75</c:v>
                </c:pt>
                <c:pt idx="83">
                  <c:v>42369.75</c:v>
                </c:pt>
                <c:pt idx="84">
                  <c:v>42374.75</c:v>
                </c:pt>
                <c:pt idx="85">
                  <c:v>42375.75</c:v>
                </c:pt>
                <c:pt idx="86">
                  <c:v>42377.75</c:v>
                </c:pt>
                <c:pt idx="87">
                  <c:v>42380.75</c:v>
                </c:pt>
                <c:pt idx="88">
                  <c:v>42381.75</c:v>
                </c:pt>
                <c:pt idx="89">
                  <c:v>42382.75</c:v>
                </c:pt>
                <c:pt idx="90">
                  <c:v>42383.75</c:v>
                </c:pt>
                <c:pt idx="91">
                  <c:v>42384.75</c:v>
                </c:pt>
                <c:pt idx="92">
                  <c:v>42387</c:v>
                </c:pt>
                <c:pt idx="93">
                  <c:v>42388</c:v>
                </c:pt>
                <c:pt idx="94">
                  <c:v>42389</c:v>
                </c:pt>
                <c:pt idx="95">
                  <c:v>42390</c:v>
                </c:pt>
                <c:pt idx="96">
                  <c:v>42391</c:v>
                </c:pt>
                <c:pt idx="97">
                  <c:v>42394</c:v>
                </c:pt>
                <c:pt idx="98">
                  <c:v>42395</c:v>
                </c:pt>
                <c:pt idx="99">
                  <c:v>42396</c:v>
                </c:pt>
                <c:pt idx="100">
                  <c:v>42397</c:v>
                </c:pt>
                <c:pt idx="101">
                  <c:v>42398</c:v>
                </c:pt>
                <c:pt idx="102">
                  <c:v>42401.75</c:v>
                </c:pt>
                <c:pt idx="103">
                  <c:v>42402.75</c:v>
                </c:pt>
                <c:pt idx="104">
                  <c:v>42403.75</c:v>
                </c:pt>
                <c:pt idx="105">
                  <c:v>42404.75</c:v>
                </c:pt>
                <c:pt idx="106">
                  <c:v>42405.75</c:v>
                </c:pt>
                <c:pt idx="107">
                  <c:v>42408.75</c:v>
                </c:pt>
                <c:pt idx="108">
                  <c:v>42409.75</c:v>
                </c:pt>
                <c:pt idx="109">
                  <c:v>42410.75</c:v>
                </c:pt>
                <c:pt idx="110">
                  <c:v>42411.75</c:v>
                </c:pt>
                <c:pt idx="111">
                  <c:v>42412.75</c:v>
                </c:pt>
                <c:pt idx="112">
                  <c:v>42415.75</c:v>
                </c:pt>
                <c:pt idx="113">
                  <c:v>42416.75</c:v>
                </c:pt>
                <c:pt idx="114">
                  <c:v>42417.75</c:v>
                </c:pt>
                <c:pt idx="115">
                  <c:v>42418.75</c:v>
                </c:pt>
                <c:pt idx="116">
                  <c:v>42419.75</c:v>
                </c:pt>
                <c:pt idx="117">
                  <c:v>42422.75</c:v>
                </c:pt>
                <c:pt idx="118">
                  <c:v>42423.75</c:v>
                </c:pt>
                <c:pt idx="119">
                  <c:v>42424.75</c:v>
                </c:pt>
                <c:pt idx="120">
                  <c:v>42425.75</c:v>
                </c:pt>
                <c:pt idx="121">
                  <c:v>42426.75</c:v>
                </c:pt>
                <c:pt idx="122">
                  <c:v>42429.75</c:v>
                </c:pt>
                <c:pt idx="123">
                  <c:v>42430.75</c:v>
                </c:pt>
                <c:pt idx="124">
                  <c:v>42431.75</c:v>
                </c:pt>
                <c:pt idx="125">
                  <c:v>42432.75</c:v>
                </c:pt>
                <c:pt idx="126">
                  <c:v>42433.75</c:v>
                </c:pt>
                <c:pt idx="127">
                  <c:v>42434.75</c:v>
                </c:pt>
                <c:pt idx="128">
                  <c:v>42438.75</c:v>
                </c:pt>
                <c:pt idx="129">
                  <c:v>42439.75</c:v>
                </c:pt>
                <c:pt idx="130">
                  <c:v>42440.75</c:v>
                </c:pt>
                <c:pt idx="131">
                  <c:v>42443.75</c:v>
                </c:pt>
                <c:pt idx="132">
                  <c:v>42444.75</c:v>
                </c:pt>
                <c:pt idx="133">
                  <c:v>42445.75</c:v>
                </c:pt>
                <c:pt idx="134">
                  <c:v>42446.75</c:v>
                </c:pt>
                <c:pt idx="135">
                  <c:v>42447.75</c:v>
                </c:pt>
                <c:pt idx="136">
                  <c:v>42453.75</c:v>
                </c:pt>
                <c:pt idx="137">
                  <c:v>42454.75</c:v>
                </c:pt>
                <c:pt idx="138">
                  <c:v>42457.75</c:v>
                </c:pt>
                <c:pt idx="139">
                  <c:v>42458.75</c:v>
                </c:pt>
                <c:pt idx="140">
                  <c:v>42459.75</c:v>
                </c:pt>
                <c:pt idx="141">
                  <c:v>42460.75</c:v>
                </c:pt>
                <c:pt idx="142">
                  <c:v>42461.75</c:v>
                </c:pt>
                <c:pt idx="143">
                  <c:v>42464.75</c:v>
                </c:pt>
                <c:pt idx="144">
                  <c:v>42465.75</c:v>
                </c:pt>
                <c:pt idx="145">
                  <c:v>42466.75</c:v>
                </c:pt>
                <c:pt idx="146">
                  <c:v>42467.75</c:v>
                </c:pt>
                <c:pt idx="147">
                  <c:v>42468.75</c:v>
                </c:pt>
                <c:pt idx="148">
                  <c:v>42471.75</c:v>
                </c:pt>
                <c:pt idx="149">
                  <c:v>42472.75</c:v>
                </c:pt>
                <c:pt idx="150">
                  <c:v>42473.75</c:v>
                </c:pt>
                <c:pt idx="151">
                  <c:v>42474.75</c:v>
                </c:pt>
                <c:pt idx="152">
                  <c:v>42475.75</c:v>
                </c:pt>
                <c:pt idx="153">
                  <c:v>42478.75</c:v>
                </c:pt>
                <c:pt idx="154">
                  <c:v>42479.75</c:v>
                </c:pt>
                <c:pt idx="155">
                  <c:v>42480.75</c:v>
                </c:pt>
                <c:pt idx="156">
                  <c:v>42481.75</c:v>
                </c:pt>
                <c:pt idx="157">
                  <c:v>42482.75</c:v>
                </c:pt>
                <c:pt idx="158">
                  <c:v>42485.75</c:v>
                </c:pt>
                <c:pt idx="159">
                  <c:v>42486.75</c:v>
                </c:pt>
                <c:pt idx="160">
                  <c:v>42487.75</c:v>
                </c:pt>
                <c:pt idx="161">
                  <c:v>42488.75</c:v>
                </c:pt>
                <c:pt idx="162">
                  <c:v>42489.75</c:v>
                </c:pt>
                <c:pt idx="163">
                  <c:v>42493.75</c:v>
                </c:pt>
                <c:pt idx="164">
                  <c:v>42494.75</c:v>
                </c:pt>
                <c:pt idx="165">
                  <c:v>42495.75</c:v>
                </c:pt>
                <c:pt idx="166">
                  <c:v>42496.75</c:v>
                </c:pt>
                <c:pt idx="167">
                  <c:v>42501.75</c:v>
                </c:pt>
                <c:pt idx="168">
                  <c:v>42502.75</c:v>
                </c:pt>
                <c:pt idx="169">
                  <c:v>42503.75</c:v>
                </c:pt>
                <c:pt idx="170">
                  <c:v>42506.75</c:v>
                </c:pt>
                <c:pt idx="171">
                  <c:v>42507.75</c:v>
                </c:pt>
                <c:pt idx="172">
                  <c:v>42508.75</c:v>
                </c:pt>
                <c:pt idx="173">
                  <c:v>42509.75</c:v>
                </c:pt>
                <c:pt idx="174">
                  <c:v>42510.75</c:v>
                </c:pt>
                <c:pt idx="175">
                  <c:v>42513.75</c:v>
                </c:pt>
                <c:pt idx="176">
                  <c:v>42514.75</c:v>
                </c:pt>
                <c:pt idx="177">
                  <c:v>42515.75</c:v>
                </c:pt>
                <c:pt idx="178">
                  <c:v>42516.75</c:v>
                </c:pt>
                <c:pt idx="179">
                  <c:v>42517.75</c:v>
                </c:pt>
                <c:pt idx="180">
                  <c:v>42520.75</c:v>
                </c:pt>
                <c:pt idx="181">
                  <c:v>42521.75</c:v>
                </c:pt>
                <c:pt idx="182">
                  <c:v>42522.75</c:v>
                </c:pt>
                <c:pt idx="183">
                  <c:v>42523.75</c:v>
                </c:pt>
                <c:pt idx="184">
                  <c:v>42524.75</c:v>
                </c:pt>
                <c:pt idx="185">
                  <c:v>42527.75</c:v>
                </c:pt>
                <c:pt idx="186">
                  <c:v>42528.75</c:v>
                </c:pt>
                <c:pt idx="187">
                  <c:v>42529.75</c:v>
                </c:pt>
                <c:pt idx="188">
                  <c:v>42530.75</c:v>
                </c:pt>
                <c:pt idx="189">
                  <c:v>42531.75</c:v>
                </c:pt>
                <c:pt idx="190">
                  <c:v>42534.75</c:v>
                </c:pt>
                <c:pt idx="191">
                  <c:v>42535.75</c:v>
                </c:pt>
                <c:pt idx="192">
                  <c:v>42536.75</c:v>
                </c:pt>
                <c:pt idx="193">
                  <c:v>42537.75</c:v>
                </c:pt>
                <c:pt idx="194">
                  <c:v>42538.75</c:v>
                </c:pt>
                <c:pt idx="195">
                  <c:v>42541.75</c:v>
                </c:pt>
                <c:pt idx="196">
                  <c:v>42542.75</c:v>
                </c:pt>
                <c:pt idx="197">
                  <c:v>42543.75</c:v>
                </c:pt>
                <c:pt idx="198">
                  <c:v>42544.75</c:v>
                </c:pt>
                <c:pt idx="199">
                  <c:v>42545.75</c:v>
                </c:pt>
                <c:pt idx="200">
                  <c:v>42548.75</c:v>
                </c:pt>
                <c:pt idx="201">
                  <c:v>42549.75</c:v>
                </c:pt>
                <c:pt idx="202">
                  <c:v>42550.75</c:v>
                </c:pt>
                <c:pt idx="203">
                  <c:v>42551.75</c:v>
                </c:pt>
                <c:pt idx="204">
                  <c:v>42552.75</c:v>
                </c:pt>
                <c:pt idx="205">
                  <c:v>42555.75</c:v>
                </c:pt>
                <c:pt idx="206">
                  <c:v>42556.75</c:v>
                </c:pt>
                <c:pt idx="207">
                  <c:v>42558.75</c:v>
                </c:pt>
                <c:pt idx="208">
                  <c:v>42559.75</c:v>
                </c:pt>
                <c:pt idx="209">
                  <c:v>42562.75</c:v>
                </c:pt>
                <c:pt idx="210">
                  <c:v>42563.75</c:v>
                </c:pt>
                <c:pt idx="211">
                  <c:v>42564.75</c:v>
                </c:pt>
                <c:pt idx="212">
                  <c:v>42565.75</c:v>
                </c:pt>
                <c:pt idx="213">
                  <c:v>42566.75</c:v>
                </c:pt>
                <c:pt idx="214">
                  <c:v>42569.75</c:v>
                </c:pt>
                <c:pt idx="215">
                  <c:v>42570.75</c:v>
                </c:pt>
                <c:pt idx="216">
                  <c:v>42571.75</c:v>
                </c:pt>
                <c:pt idx="217">
                  <c:v>42572.75</c:v>
                </c:pt>
                <c:pt idx="218">
                  <c:v>42573.75</c:v>
                </c:pt>
                <c:pt idx="219">
                  <c:v>42576.75</c:v>
                </c:pt>
                <c:pt idx="220">
                  <c:v>42577.75</c:v>
                </c:pt>
                <c:pt idx="221">
                  <c:v>42578.75</c:v>
                </c:pt>
                <c:pt idx="222">
                  <c:v>42579.75</c:v>
                </c:pt>
                <c:pt idx="223">
                  <c:v>42580.75</c:v>
                </c:pt>
                <c:pt idx="224">
                  <c:v>42583.75</c:v>
                </c:pt>
                <c:pt idx="225">
                  <c:v>42584.75</c:v>
                </c:pt>
                <c:pt idx="226">
                  <c:v>42585.75</c:v>
                </c:pt>
                <c:pt idx="227">
                  <c:v>42586.75</c:v>
                </c:pt>
                <c:pt idx="228">
                  <c:v>42587.75</c:v>
                </c:pt>
                <c:pt idx="229">
                  <c:v>42590.75</c:v>
                </c:pt>
                <c:pt idx="230">
                  <c:v>42591.75</c:v>
                </c:pt>
                <c:pt idx="231">
                  <c:v>42592.75</c:v>
                </c:pt>
                <c:pt idx="232">
                  <c:v>42593.75</c:v>
                </c:pt>
                <c:pt idx="233">
                  <c:v>42594.75</c:v>
                </c:pt>
                <c:pt idx="234">
                  <c:v>42597.75</c:v>
                </c:pt>
                <c:pt idx="235">
                  <c:v>42598.75</c:v>
                </c:pt>
                <c:pt idx="236">
                  <c:v>42599.75</c:v>
                </c:pt>
                <c:pt idx="237">
                  <c:v>42600.75</c:v>
                </c:pt>
                <c:pt idx="238">
                  <c:v>42601.75</c:v>
                </c:pt>
                <c:pt idx="239">
                  <c:v>42604.75</c:v>
                </c:pt>
                <c:pt idx="240">
                  <c:v>42605.75</c:v>
                </c:pt>
                <c:pt idx="241">
                  <c:v>42606.75</c:v>
                </c:pt>
                <c:pt idx="242">
                  <c:v>42607.75</c:v>
                </c:pt>
                <c:pt idx="243">
                  <c:v>42608.75</c:v>
                </c:pt>
                <c:pt idx="244">
                  <c:v>42611.75</c:v>
                </c:pt>
                <c:pt idx="245">
                  <c:v>42613.75</c:v>
                </c:pt>
                <c:pt idx="246">
                  <c:v>42614.75</c:v>
                </c:pt>
                <c:pt idx="247">
                  <c:v>42615.75</c:v>
                </c:pt>
                <c:pt idx="248">
                  <c:v>42618.75</c:v>
                </c:pt>
                <c:pt idx="249">
                  <c:v>42619.75</c:v>
                </c:pt>
                <c:pt idx="250">
                  <c:v>42620.75</c:v>
                </c:pt>
                <c:pt idx="251">
                  <c:v>42621.75</c:v>
                </c:pt>
                <c:pt idx="252">
                  <c:v>42622.75</c:v>
                </c:pt>
                <c:pt idx="253">
                  <c:v>42626.75</c:v>
                </c:pt>
                <c:pt idx="254">
                  <c:v>42627.75</c:v>
                </c:pt>
                <c:pt idx="255">
                  <c:v>42628.75</c:v>
                </c:pt>
                <c:pt idx="256">
                  <c:v>42629.75</c:v>
                </c:pt>
                <c:pt idx="257">
                  <c:v>42632.75</c:v>
                </c:pt>
                <c:pt idx="258">
                  <c:v>42633.75</c:v>
                </c:pt>
                <c:pt idx="259">
                  <c:v>42634.75</c:v>
                </c:pt>
                <c:pt idx="260">
                  <c:v>42635.75</c:v>
                </c:pt>
                <c:pt idx="261">
                  <c:v>42636.75</c:v>
                </c:pt>
                <c:pt idx="262">
                  <c:v>42639.75</c:v>
                </c:pt>
                <c:pt idx="263">
                  <c:v>42640.75</c:v>
                </c:pt>
                <c:pt idx="264">
                  <c:v>42641.75</c:v>
                </c:pt>
                <c:pt idx="265">
                  <c:v>42642.75</c:v>
                </c:pt>
                <c:pt idx="266">
                  <c:v>42643.75</c:v>
                </c:pt>
                <c:pt idx="267">
                  <c:v>42646.75</c:v>
                </c:pt>
                <c:pt idx="268">
                  <c:v>42647.75</c:v>
                </c:pt>
                <c:pt idx="269">
                  <c:v>42648.75</c:v>
                </c:pt>
                <c:pt idx="270">
                  <c:v>42649.75</c:v>
                </c:pt>
                <c:pt idx="271">
                  <c:v>42650.75</c:v>
                </c:pt>
                <c:pt idx="272">
                  <c:v>42653.75</c:v>
                </c:pt>
                <c:pt idx="273">
                  <c:v>42654.75</c:v>
                </c:pt>
                <c:pt idx="274">
                  <c:v>42655.75</c:v>
                </c:pt>
                <c:pt idx="275">
                  <c:v>42656.75</c:v>
                </c:pt>
                <c:pt idx="276">
                  <c:v>42657.75</c:v>
                </c:pt>
                <c:pt idx="277">
                  <c:v>42660.75</c:v>
                </c:pt>
                <c:pt idx="278">
                  <c:v>42661.75</c:v>
                </c:pt>
                <c:pt idx="279">
                  <c:v>42662.75</c:v>
                </c:pt>
                <c:pt idx="280">
                  <c:v>42663.75</c:v>
                </c:pt>
                <c:pt idx="281">
                  <c:v>42664.75</c:v>
                </c:pt>
                <c:pt idx="282">
                  <c:v>42667.75</c:v>
                </c:pt>
                <c:pt idx="283">
                  <c:v>42668.75</c:v>
                </c:pt>
                <c:pt idx="284">
                  <c:v>42669.75</c:v>
                </c:pt>
                <c:pt idx="285">
                  <c:v>42670.75</c:v>
                </c:pt>
                <c:pt idx="286">
                  <c:v>42671.75</c:v>
                </c:pt>
                <c:pt idx="287">
                  <c:v>42674.75</c:v>
                </c:pt>
                <c:pt idx="288">
                  <c:v>42675.75</c:v>
                </c:pt>
                <c:pt idx="289">
                  <c:v>42676.75</c:v>
                </c:pt>
                <c:pt idx="290">
                  <c:v>42677.75</c:v>
                </c:pt>
                <c:pt idx="291">
                  <c:v>42678.75</c:v>
                </c:pt>
                <c:pt idx="292">
                  <c:v>42681.75</c:v>
                </c:pt>
                <c:pt idx="293">
                  <c:v>42682.75</c:v>
                </c:pt>
                <c:pt idx="294">
                  <c:v>42683.75</c:v>
                </c:pt>
                <c:pt idx="295">
                  <c:v>42684.75</c:v>
                </c:pt>
                <c:pt idx="296">
                  <c:v>42685.75</c:v>
                </c:pt>
                <c:pt idx="297">
                  <c:v>42688.75</c:v>
                </c:pt>
                <c:pt idx="298">
                  <c:v>42689.75</c:v>
                </c:pt>
                <c:pt idx="299">
                  <c:v>42690.75</c:v>
                </c:pt>
                <c:pt idx="300">
                  <c:v>42691.75</c:v>
                </c:pt>
                <c:pt idx="301">
                  <c:v>42692.75</c:v>
                </c:pt>
                <c:pt idx="302">
                  <c:v>42695.75</c:v>
                </c:pt>
                <c:pt idx="303">
                  <c:v>42696.75</c:v>
                </c:pt>
                <c:pt idx="304">
                  <c:v>42697.75</c:v>
                </c:pt>
                <c:pt idx="305">
                  <c:v>42698.75</c:v>
                </c:pt>
                <c:pt idx="306">
                  <c:v>42699.75</c:v>
                </c:pt>
                <c:pt idx="307">
                  <c:v>42702.75</c:v>
                </c:pt>
                <c:pt idx="308">
                  <c:v>42703.75</c:v>
                </c:pt>
                <c:pt idx="309">
                  <c:v>42704.75</c:v>
                </c:pt>
                <c:pt idx="310">
                  <c:v>42706.75</c:v>
                </c:pt>
                <c:pt idx="311">
                  <c:v>42709.75</c:v>
                </c:pt>
                <c:pt idx="312">
                  <c:v>42710.75</c:v>
                </c:pt>
                <c:pt idx="313">
                  <c:v>42711.75</c:v>
                </c:pt>
                <c:pt idx="314">
                  <c:v>42712.75</c:v>
                </c:pt>
                <c:pt idx="315">
                  <c:v>42713.75</c:v>
                </c:pt>
                <c:pt idx="316">
                  <c:v>42716.75</c:v>
                </c:pt>
                <c:pt idx="317">
                  <c:v>42717.75</c:v>
                </c:pt>
                <c:pt idx="318">
                  <c:v>42718.75</c:v>
                </c:pt>
                <c:pt idx="319">
                  <c:v>42719.75</c:v>
                </c:pt>
                <c:pt idx="320">
                  <c:v>42724.75</c:v>
                </c:pt>
                <c:pt idx="321">
                  <c:v>42725.75</c:v>
                </c:pt>
                <c:pt idx="322">
                  <c:v>42726.75</c:v>
                </c:pt>
                <c:pt idx="323">
                  <c:v>42727.75</c:v>
                </c:pt>
                <c:pt idx="324">
                  <c:v>42730.75</c:v>
                </c:pt>
                <c:pt idx="325">
                  <c:v>42731.75</c:v>
                </c:pt>
                <c:pt idx="326">
                  <c:v>42732.75</c:v>
                </c:pt>
                <c:pt idx="327">
                  <c:v>42733.75</c:v>
                </c:pt>
                <c:pt idx="328">
                  <c:v>42734.75</c:v>
                </c:pt>
                <c:pt idx="329">
                  <c:v>42739.75</c:v>
                </c:pt>
                <c:pt idx="330">
                  <c:v>42740.75</c:v>
                </c:pt>
                <c:pt idx="331">
                  <c:v>42741.75</c:v>
                </c:pt>
                <c:pt idx="332">
                  <c:v>42744.75</c:v>
                </c:pt>
                <c:pt idx="333">
                  <c:v>42745.75</c:v>
                </c:pt>
                <c:pt idx="334">
                  <c:v>42746.75</c:v>
                </c:pt>
                <c:pt idx="335">
                  <c:v>42747.75</c:v>
                </c:pt>
                <c:pt idx="336">
                  <c:v>42748.75</c:v>
                </c:pt>
                <c:pt idx="337">
                  <c:v>42751.75</c:v>
                </c:pt>
                <c:pt idx="338">
                  <c:v>42752.75</c:v>
                </c:pt>
                <c:pt idx="339">
                  <c:v>42753.75</c:v>
                </c:pt>
                <c:pt idx="340">
                  <c:v>42754.75</c:v>
                </c:pt>
                <c:pt idx="341">
                  <c:v>42755.75</c:v>
                </c:pt>
                <c:pt idx="342">
                  <c:v>42758.75</c:v>
                </c:pt>
                <c:pt idx="343">
                  <c:v>42759.75</c:v>
                </c:pt>
                <c:pt idx="344">
                  <c:v>42760.75</c:v>
                </c:pt>
                <c:pt idx="345">
                  <c:v>42761.75</c:v>
                </c:pt>
                <c:pt idx="346">
                  <c:v>42762.75</c:v>
                </c:pt>
                <c:pt idx="347">
                  <c:v>42765.75</c:v>
                </c:pt>
                <c:pt idx="348">
                  <c:v>42766.75</c:v>
                </c:pt>
                <c:pt idx="349">
                  <c:v>42767.75</c:v>
                </c:pt>
                <c:pt idx="350">
                  <c:v>42768.75</c:v>
                </c:pt>
                <c:pt idx="351">
                  <c:v>42769.75</c:v>
                </c:pt>
                <c:pt idx="352">
                  <c:v>42772.75</c:v>
                </c:pt>
                <c:pt idx="353">
                  <c:v>42773.75</c:v>
                </c:pt>
                <c:pt idx="354">
                  <c:v>42774.75</c:v>
                </c:pt>
                <c:pt idx="355">
                  <c:v>42775.75</c:v>
                </c:pt>
                <c:pt idx="356">
                  <c:v>42776.75</c:v>
                </c:pt>
                <c:pt idx="357">
                  <c:v>42779.75</c:v>
                </c:pt>
                <c:pt idx="358">
                  <c:v>42780.75</c:v>
                </c:pt>
                <c:pt idx="359">
                  <c:v>42781.75</c:v>
                </c:pt>
                <c:pt idx="360">
                  <c:v>42782.75</c:v>
                </c:pt>
                <c:pt idx="361">
                  <c:v>42783.75</c:v>
                </c:pt>
                <c:pt idx="362">
                  <c:v>42786.75</c:v>
                </c:pt>
                <c:pt idx="363">
                  <c:v>42787.75</c:v>
                </c:pt>
                <c:pt idx="364">
                  <c:v>42788.75</c:v>
                </c:pt>
                <c:pt idx="365">
                  <c:v>42789.75</c:v>
                </c:pt>
                <c:pt idx="366">
                  <c:v>42790.75</c:v>
                </c:pt>
                <c:pt idx="367">
                  <c:v>42793.75</c:v>
                </c:pt>
                <c:pt idx="368">
                  <c:v>42794.75</c:v>
                </c:pt>
                <c:pt idx="369">
                  <c:v>42795.75</c:v>
                </c:pt>
                <c:pt idx="370">
                  <c:v>42796.75</c:v>
                </c:pt>
                <c:pt idx="371">
                  <c:v>42797.75</c:v>
                </c:pt>
                <c:pt idx="372">
                  <c:v>42800.75</c:v>
                </c:pt>
                <c:pt idx="373">
                  <c:v>42801.75</c:v>
                </c:pt>
                <c:pt idx="374">
                  <c:v>42803.75</c:v>
                </c:pt>
                <c:pt idx="375">
                  <c:v>42804.75</c:v>
                </c:pt>
                <c:pt idx="376">
                  <c:v>42807.75</c:v>
                </c:pt>
                <c:pt idx="377">
                  <c:v>42808.75</c:v>
                </c:pt>
                <c:pt idx="378">
                  <c:v>42809.75</c:v>
                </c:pt>
                <c:pt idx="379">
                  <c:v>42810.75</c:v>
                </c:pt>
                <c:pt idx="380">
                  <c:v>42811.75</c:v>
                </c:pt>
                <c:pt idx="381">
                  <c:v>42812.75</c:v>
                </c:pt>
                <c:pt idx="382">
                  <c:v>42818.75</c:v>
                </c:pt>
                <c:pt idx="383">
                  <c:v>42821.75</c:v>
                </c:pt>
                <c:pt idx="384">
                  <c:v>42822.75</c:v>
                </c:pt>
                <c:pt idx="385">
                  <c:v>42823.75</c:v>
                </c:pt>
                <c:pt idx="386">
                  <c:v>42824.75</c:v>
                </c:pt>
                <c:pt idx="387">
                  <c:v>42825.75</c:v>
                </c:pt>
                <c:pt idx="388">
                  <c:v>42828</c:v>
                </c:pt>
                <c:pt idx="389">
                  <c:v>42829</c:v>
                </c:pt>
                <c:pt idx="390">
                  <c:v>42830</c:v>
                </c:pt>
                <c:pt idx="391">
                  <c:v>42831</c:v>
                </c:pt>
                <c:pt idx="392">
                  <c:v>42832</c:v>
                </c:pt>
                <c:pt idx="393">
                  <c:v>42835</c:v>
                </c:pt>
                <c:pt idx="394">
                  <c:v>42836</c:v>
                </c:pt>
                <c:pt idx="395">
                  <c:v>42837</c:v>
                </c:pt>
                <c:pt idx="396">
                  <c:v>42838</c:v>
                </c:pt>
                <c:pt idx="397">
                  <c:v>42839</c:v>
                </c:pt>
                <c:pt idx="398">
                  <c:v>42842</c:v>
                </c:pt>
                <c:pt idx="399">
                  <c:v>42843</c:v>
                </c:pt>
                <c:pt idx="400">
                  <c:v>42844</c:v>
                </c:pt>
                <c:pt idx="401">
                  <c:v>42845</c:v>
                </c:pt>
                <c:pt idx="402">
                  <c:v>42846</c:v>
                </c:pt>
                <c:pt idx="403">
                  <c:v>42849</c:v>
                </c:pt>
                <c:pt idx="404">
                  <c:v>42850</c:v>
                </c:pt>
                <c:pt idx="405">
                  <c:v>42851</c:v>
                </c:pt>
                <c:pt idx="406">
                  <c:v>42852</c:v>
                </c:pt>
                <c:pt idx="407">
                  <c:v>42853.75</c:v>
                </c:pt>
                <c:pt idx="408">
                  <c:v>42857.75</c:v>
                </c:pt>
                <c:pt idx="409">
                  <c:v>42858.75</c:v>
                </c:pt>
                <c:pt idx="410">
                  <c:v>42859.75</c:v>
                </c:pt>
                <c:pt idx="411">
                  <c:v>42860.75</c:v>
                </c:pt>
                <c:pt idx="412">
                  <c:v>42865.75</c:v>
                </c:pt>
                <c:pt idx="413">
                  <c:v>42866.75</c:v>
                </c:pt>
                <c:pt idx="414">
                  <c:v>42867.75</c:v>
                </c:pt>
                <c:pt idx="415">
                  <c:v>42870.75</c:v>
                </c:pt>
                <c:pt idx="416">
                  <c:v>42871.75</c:v>
                </c:pt>
                <c:pt idx="417">
                  <c:v>42872.75</c:v>
                </c:pt>
                <c:pt idx="418">
                  <c:v>42873.75</c:v>
                </c:pt>
                <c:pt idx="419">
                  <c:v>42874.75</c:v>
                </c:pt>
                <c:pt idx="420">
                  <c:v>42877.75</c:v>
                </c:pt>
                <c:pt idx="421">
                  <c:v>42878.75</c:v>
                </c:pt>
                <c:pt idx="422">
                  <c:v>42879.75</c:v>
                </c:pt>
                <c:pt idx="423">
                  <c:v>42880.75</c:v>
                </c:pt>
                <c:pt idx="424">
                  <c:v>42881.75</c:v>
                </c:pt>
                <c:pt idx="425">
                  <c:v>42884.75</c:v>
                </c:pt>
                <c:pt idx="426">
                  <c:v>42885.75</c:v>
                </c:pt>
                <c:pt idx="427">
                  <c:v>42886.75</c:v>
                </c:pt>
                <c:pt idx="428">
                  <c:v>42887.75</c:v>
                </c:pt>
                <c:pt idx="429">
                  <c:v>42888.75</c:v>
                </c:pt>
                <c:pt idx="430">
                  <c:v>42891.75</c:v>
                </c:pt>
                <c:pt idx="431">
                  <c:v>42892.75</c:v>
                </c:pt>
                <c:pt idx="432">
                  <c:v>42893.75</c:v>
                </c:pt>
                <c:pt idx="433">
                  <c:v>42894.75</c:v>
                </c:pt>
                <c:pt idx="434">
                  <c:v>42895.75</c:v>
                </c:pt>
                <c:pt idx="435">
                  <c:v>42898.75</c:v>
                </c:pt>
                <c:pt idx="436">
                  <c:v>42899.75</c:v>
                </c:pt>
                <c:pt idx="437">
                  <c:v>42900.75</c:v>
                </c:pt>
                <c:pt idx="438">
                  <c:v>42901.75</c:v>
                </c:pt>
                <c:pt idx="439">
                  <c:v>42902.75</c:v>
                </c:pt>
                <c:pt idx="440">
                  <c:v>42905.75</c:v>
                </c:pt>
                <c:pt idx="441">
                  <c:v>42906.75</c:v>
                </c:pt>
                <c:pt idx="442">
                  <c:v>42907.75</c:v>
                </c:pt>
                <c:pt idx="443">
                  <c:v>42908.75</c:v>
                </c:pt>
                <c:pt idx="444">
                  <c:v>42909.75</c:v>
                </c:pt>
                <c:pt idx="445">
                  <c:v>42912.75</c:v>
                </c:pt>
                <c:pt idx="446">
                  <c:v>42913.75</c:v>
                </c:pt>
                <c:pt idx="447">
                  <c:v>42914.75</c:v>
                </c:pt>
                <c:pt idx="448">
                  <c:v>42915.75</c:v>
                </c:pt>
                <c:pt idx="449">
                  <c:v>42916.75</c:v>
                </c:pt>
                <c:pt idx="450">
                  <c:v>42917.75</c:v>
                </c:pt>
                <c:pt idx="451">
                  <c:v>42919.75</c:v>
                </c:pt>
                <c:pt idx="452">
                  <c:v>42920.75</c:v>
                </c:pt>
                <c:pt idx="453">
                  <c:v>42921.75</c:v>
                </c:pt>
                <c:pt idx="454">
                  <c:v>42926.75</c:v>
                </c:pt>
                <c:pt idx="455">
                  <c:v>42927.75</c:v>
                </c:pt>
                <c:pt idx="456">
                  <c:v>42928.75</c:v>
                </c:pt>
                <c:pt idx="457">
                  <c:v>42929.75</c:v>
                </c:pt>
                <c:pt idx="458">
                  <c:v>42930.75</c:v>
                </c:pt>
                <c:pt idx="459">
                  <c:v>42933.75</c:v>
                </c:pt>
                <c:pt idx="460">
                  <c:v>42934.75</c:v>
                </c:pt>
              </c:numCache>
            </c:numRef>
          </c:cat>
          <c:val>
            <c:numRef>
              <c:f>'TONIA 06.01.2017'!$E$3:$E$463</c:f>
              <c:numCache>
                <c:formatCode>General</c:formatCode>
                <c:ptCount val="461"/>
                <c:pt idx="0">
                  <c:v>13.657335</c:v>
                </c:pt>
                <c:pt idx="1">
                  <c:v>12.501481999999999</c:v>
                </c:pt>
                <c:pt idx="2">
                  <c:v>10.378581000000001</c:v>
                </c:pt>
                <c:pt idx="3">
                  <c:v>6.7718350000000003</c:v>
                </c:pt>
                <c:pt idx="4">
                  <c:v>6.9186649999999998</c:v>
                </c:pt>
                <c:pt idx="5">
                  <c:v>7.3027509999999998</c:v>
                </c:pt>
                <c:pt idx="6">
                  <c:v>10.218792000000001</c:v>
                </c:pt>
                <c:pt idx="7">
                  <c:v>11.323736</c:v>
                </c:pt>
                <c:pt idx="8">
                  <c:v>9.9267400000000006</c:v>
                </c:pt>
                <c:pt idx="9">
                  <c:v>12.107727000000001</c:v>
                </c:pt>
                <c:pt idx="10">
                  <c:v>15.733885000000001</c:v>
                </c:pt>
                <c:pt idx="11">
                  <c:v>13.714060999999999</c:v>
                </c:pt>
                <c:pt idx="12">
                  <c:v>14.883629000000001</c:v>
                </c:pt>
                <c:pt idx="13">
                  <c:v>15.662271</c:v>
                </c:pt>
                <c:pt idx="14">
                  <c:v>16.215495000000001</c:v>
                </c:pt>
                <c:pt idx="15">
                  <c:v>16.892081999999998</c:v>
                </c:pt>
                <c:pt idx="16">
                  <c:v>16.872707999999999</c:v>
                </c:pt>
                <c:pt idx="17">
                  <c:v>16.894660999999999</c:v>
                </c:pt>
                <c:pt idx="18">
                  <c:v>16.983620999999999</c:v>
                </c:pt>
                <c:pt idx="19">
                  <c:v>16.962212999999998</c:v>
                </c:pt>
                <c:pt idx="20">
                  <c:v>16.954611</c:v>
                </c:pt>
                <c:pt idx="21">
                  <c:v>16.957398999999999</c:v>
                </c:pt>
                <c:pt idx="22">
                  <c:v>16.532435</c:v>
                </c:pt>
                <c:pt idx="23">
                  <c:v>16.731452999999998</c:v>
                </c:pt>
                <c:pt idx="24">
                  <c:v>16.819991999999999</c:v>
                </c:pt>
                <c:pt idx="25">
                  <c:v>16.812797</c:v>
                </c:pt>
                <c:pt idx="26">
                  <c:v>16.917618999999998</c:v>
                </c:pt>
                <c:pt idx="27">
                  <c:v>16.958473999999999</c:v>
                </c:pt>
                <c:pt idx="28">
                  <c:v>16.976851</c:v>
                </c:pt>
                <c:pt idx="29">
                  <c:v>16.582042000000001</c:v>
                </c:pt>
                <c:pt idx="30">
                  <c:v>16.369796000000001</c:v>
                </c:pt>
                <c:pt idx="31">
                  <c:v>16.326627999999999</c:v>
                </c:pt>
                <c:pt idx="32">
                  <c:v>16.203773000000002</c:v>
                </c:pt>
                <c:pt idx="33">
                  <c:v>16.167552000000001</c:v>
                </c:pt>
                <c:pt idx="34">
                  <c:v>16.375581</c:v>
                </c:pt>
                <c:pt idx="35">
                  <c:v>16.471408</c:v>
                </c:pt>
                <c:pt idx="36">
                  <c:v>16.391138999999999</c:v>
                </c:pt>
                <c:pt idx="37">
                  <c:v>16.535762999999999</c:v>
                </c:pt>
                <c:pt idx="38">
                  <c:v>16.887136999999999</c:v>
                </c:pt>
                <c:pt idx="39">
                  <c:v>16.832794</c:v>
                </c:pt>
                <c:pt idx="40">
                  <c:v>16.471498</c:v>
                </c:pt>
                <c:pt idx="41">
                  <c:v>16.276641999999999</c:v>
                </c:pt>
                <c:pt idx="42">
                  <c:v>16.078220999999999</c:v>
                </c:pt>
                <c:pt idx="43">
                  <c:v>16.061302000000001</c:v>
                </c:pt>
                <c:pt idx="44">
                  <c:v>16.108440999999999</c:v>
                </c:pt>
                <c:pt idx="45">
                  <c:v>16.079476</c:v>
                </c:pt>
                <c:pt idx="46">
                  <c:v>16.596368999999999</c:v>
                </c:pt>
                <c:pt idx="47">
                  <c:v>50.345936999999999</c:v>
                </c:pt>
                <c:pt idx="48">
                  <c:v>37.806159999999998</c:v>
                </c:pt>
                <c:pt idx="49">
                  <c:v>22.392430000000001</c:v>
                </c:pt>
                <c:pt idx="50">
                  <c:v>12.098234</c:v>
                </c:pt>
                <c:pt idx="51">
                  <c:v>10.219046000000001</c:v>
                </c:pt>
                <c:pt idx="52">
                  <c:v>23.438271</c:v>
                </c:pt>
                <c:pt idx="53">
                  <c:v>56.585161999999997</c:v>
                </c:pt>
                <c:pt idx="54">
                  <c:v>26.016037000000001</c:v>
                </c:pt>
                <c:pt idx="55">
                  <c:v>14.30081</c:v>
                </c:pt>
                <c:pt idx="56">
                  <c:v>14.341269</c:v>
                </c:pt>
                <c:pt idx="57">
                  <c:v>13.054551</c:v>
                </c:pt>
                <c:pt idx="58">
                  <c:v>21.610845000000001</c:v>
                </c:pt>
                <c:pt idx="59">
                  <c:v>29.321190000000001</c:v>
                </c:pt>
                <c:pt idx="60">
                  <c:v>26.939682000000001</c:v>
                </c:pt>
                <c:pt idx="61">
                  <c:v>15.860194999999999</c:v>
                </c:pt>
                <c:pt idx="62">
                  <c:v>24.245162000000001</c:v>
                </c:pt>
                <c:pt idx="63">
                  <c:v>29.372938999999999</c:v>
                </c:pt>
                <c:pt idx="64">
                  <c:v>25.558907000000001</c:v>
                </c:pt>
                <c:pt idx="65">
                  <c:v>15.625565999999999</c:v>
                </c:pt>
                <c:pt idx="66">
                  <c:v>12.06209</c:v>
                </c:pt>
                <c:pt idx="67">
                  <c:v>12.056176000000001</c:v>
                </c:pt>
                <c:pt idx="68">
                  <c:v>11.959921</c:v>
                </c:pt>
                <c:pt idx="69">
                  <c:v>12.204097000000001</c:v>
                </c:pt>
                <c:pt idx="70">
                  <c:v>14.060491000000001</c:v>
                </c:pt>
                <c:pt idx="71">
                  <c:v>13.469942</c:v>
                </c:pt>
                <c:pt idx="72">
                  <c:v>38.211827</c:v>
                </c:pt>
                <c:pt idx="73">
                  <c:v>123.83519699999999</c:v>
                </c:pt>
                <c:pt idx="74">
                  <c:v>228.81674899999999</c:v>
                </c:pt>
                <c:pt idx="75">
                  <c:v>317.95328499999999</c:v>
                </c:pt>
                <c:pt idx="76">
                  <c:v>162.379796</c:v>
                </c:pt>
                <c:pt idx="77">
                  <c:v>34.198523000000002</c:v>
                </c:pt>
                <c:pt idx="78">
                  <c:v>59.047812</c:v>
                </c:pt>
                <c:pt idx="79">
                  <c:v>70.046581000000003</c:v>
                </c:pt>
                <c:pt idx="80">
                  <c:v>70.355804000000006</c:v>
                </c:pt>
                <c:pt idx="81">
                  <c:v>71.942694000000003</c:v>
                </c:pt>
                <c:pt idx="82">
                  <c:v>79.186330999999996</c:v>
                </c:pt>
                <c:pt idx="83">
                  <c:v>75.924712</c:v>
                </c:pt>
                <c:pt idx="84">
                  <c:v>79.037284</c:v>
                </c:pt>
                <c:pt idx="85">
                  <c:v>72.506223000000006</c:v>
                </c:pt>
                <c:pt idx="86">
                  <c:v>69.904509000000004</c:v>
                </c:pt>
                <c:pt idx="87">
                  <c:v>59.910103999999997</c:v>
                </c:pt>
                <c:pt idx="88">
                  <c:v>59.935265999999999</c:v>
                </c:pt>
                <c:pt idx="89">
                  <c:v>59.908135000000001</c:v>
                </c:pt>
                <c:pt idx="90">
                  <c:v>49.860571999999998</c:v>
                </c:pt>
                <c:pt idx="91">
                  <c:v>49.931651000000002</c:v>
                </c:pt>
                <c:pt idx="92">
                  <c:v>39.844853825408428</c:v>
                </c:pt>
                <c:pt idx="93">
                  <c:v>39.884458207035259</c:v>
                </c:pt>
                <c:pt idx="94">
                  <c:v>39.502467502549379</c:v>
                </c:pt>
                <c:pt idx="95">
                  <c:v>29.951940773469182</c:v>
                </c:pt>
                <c:pt idx="96">
                  <c:v>29.937946304939999</c:v>
                </c:pt>
                <c:pt idx="97">
                  <c:v>29.963378667387389</c:v>
                </c:pt>
                <c:pt idx="98">
                  <c:v>29.984246599946889</c:v>
                </c:pt>
                <c:pt idx="99">
                  <c:v>29.975351669123476</c:v>
                </c:pt>
                <c:pt idx="100">
                  <c:v>24.649894027243182</c:v>
                </c:pt>
                <c:pt idx="101">
                  <c:v>24.646150010606757</c:v>
                </c:pt>
                <c:pt idx="102" formatCode="0.0">
                  <c:v>23.413941999999999</c:v>
                </c:pt>
                <c:pt idx="103" formatCode="0.0">
                  <c:v>18.618012</c:v>
                </c:pt>
                <c:pt idx="104" formatCode="0.0">
                  <c:v>18.455727</c:v>
                </c:pt>
                <c:pt idx="105" formatCode="0.0">
                  <c:v>18.111958000000001</c:v>
                </c:pt>
                <c:pt idx="106" formatCode="0.0">
                  <c:v>18.643799999999999</c:v>
                </c:pt>
                <c:pt idx="107" formatCode="0.0">
                  <c:v>16.519355000000001</c:v>
                </c:pt>
                <c:pt idx="108" formatCode="0.0">
                  <c:v>15.158480000000001</c:v>
                </c:pt>
                <c:pt idx="109" formatCode="0.0">
                  <c:v>15.005865</c:v>
                </c:pt>
                <c:pt idx="110" formatCode="0.0">
                  <c:v>15.004127</c:v>
                </c:pt>
                <c:pt idx="111" formatCode="0.0">
                  <c:v>15.001621</c:v>
                </c:pt>
                <c:pt idx="112" formatCode="0.0">
                  <c:v>15.000260000000001</c:v>
                </c:pt>
                <c:pt idx="113" formatCode="0.0">
                  <c:v>15.002666</c:v>
                </c:pt>
                <c:pt idx="114" formatCode="0.0">
                  <c:v>15.008229</c:v>
                </c:pt>
                <c:pt idx="115" formatCode="0.0">
                  <c:v>15.000012</c:v>
                </c:pt>
                <c:pt idx="116" formatCode="0.0">
                  <c:v>15.000012</c:v>
                </c:pt>
                <c:pt idx="117" formatCode="0.0">
                  <c:v>15.000939000000001</c:v>
                </c:pt>
                <c:pt idx="118" formatCode="0.0">
                  <c:v>15.001086000000001</c:v>
                </c:pt>
                <c:pt idx="119" formatCode="0.0">
                  <c:v>15.001156</c:v>
                </c:pt>
                <c:pt idx="120" formatCode="0.0">
                  <c:v>15.000021</c:v>
                </c:pt>
                <c:pt idx="121" formatCode="0.0">
                  <c:v>15.000023000000001</c:v>
                </c:pt>
                <c:pt idx="122" formatCode="0.0">
                  <c:v>14.999613999999999</c:v>
                </c:pt>
                <c:pt idx="123" formatCode="0.0">
                  <c:v>15.000023000000001</c:v>
                </c:pt>
                <c:pt idx="124" formatCode="0.0">
                  <c:v>15.000024</c:v>
                </c:pt>
                <c:pt idx="125" formatCode="0.0">
                  <c:v>15.000019</c:v>
                </c:pt>
                <c:pt idx="126" formatCode="0.0">
                  <c:v>15.000026</c:v>
                </c:pt>
                <c:pt idx="127" formatCode="0.0">
                  <c:v>15.000012999999999</c:v>
                </c:pt>
                <c:pt idx="128" formatCode="0.0">
                  <c:v>15.000014999999999</c:v>
                </c:pt>
                <c:pt idx="129" formatCode="0.0">
                  <c:v>15.000071999999999</c:v>
                </c:pt>
                <c:pt idx="130" formatCode="0.0">
                  <c:v>15.000028</c:v>
                </c:pt>
                <c:pt idx="131" formatCode="0.0">
                  <c:v>15.000021</c:v>
                </c:pt>
                <c:pt idx="132" formatCode="0.0">
                  <c:v>15.000031999999999</c:v>
                </c:pt>
                <c:pt idx="133" formatCode="0.0">
                  <c:v>15.00001</c:v>
                </c:pt>
                <c:pt idx="134" formatCode="0.0">
                  <c:v>15.000012</c:v>
                </c:pt>
                <c:pt idx="135" formatCode="0.0">
                  <c:v>15.000021</c:v>
                </c:pt>
                <c:pt idx="136" formatCode="0.0">
                  <c:v>15.000009</c:v>
                </c:pt>
                <c:pt idx="137" formatCode="0.0">
                  <c:v>15.000392</c:v>
                </c:pt>
                <c:pt idx="138" formatCode="0.0">
                  <c:v>15.000009</c:v>
                </c:pt>
                <c:pt idx="139" formatCode="0.0">
                  <c:v>15.001791000000001</c:v>
                </c:pt>
                <c:pt idx="140" formatCode="0.0">
                  <c:v>15.000002</c:v>
                </c:pt>
                <c:pt idx="141" formatCode="0.0">
                  <c:v>14.97828</c:v>
                </c:pt>
                <c:pt idx="142" formatCode="0.0">
                  <c:v>14.99574</c:v>
                </c:pt>
                <c:pt idx="143" formatCode="0.0">
                  <c:v>14.997697000000001</c:v>
                </c:pt>
                <c:pt idx="144" formatCode="0.0">
                  <c:v>15.000007</c:v>
                </c:pt>
                <c:pt idx="145" formatCode="0.0">
                  <c:v>15.000005</c:v>
                </c:pt>
                <c:pt idx="146" formatCode="0.0">
                  <c:v>15.000014999999999</c:v>
                </c:pt>
                <c:pt idx="147" formatCode="0.0">
                  <c:v>15.004770000000001</c:v>
                </c:pt>
                <c:pt idx="148" formatCode="0.0">
                  <c:v>15.037224</c:v>
                </c:pt>
                <c:pt idx="149" formatCode="0.0">
                  <c:v>15.000014</c:v>
                </c:pt>
                <c:pt idx="150" formatCode="0.0">
                  <c:v>15.000854</c:v>
                </c:pt>
                <c:pt idx="151" formatCode="0.0">
                  <c:v>15.003136</c:v>
                </c:pt>
                <c:pt idx="152" formatCode="0.0">
                  <c:v>15.000006000000001</c:v>
                </c:pt>
                <c:pt idx="153" formatCode="0.0">
                  <c:v>15.000363</c:v>
                </c:pt>
                <c:pt idx="154" formatCode="0.0">
                  <c:v>15.004592000000001</c:v>
                </c:pt>
                <c:pt idx="155" formatCode="0.0">
                  <c:v>15.00455</c:v>
                </c:pt>
                <c:pt idx="156" formatCode="0.0">
                  <c:v>15.000195</c:v>
                </c:pt>
                <c:pt idx="157" formatCode="0.0">
                  <c:v>15.000302</c:v>
                </c:pt>
                <c:pt idx="158" formatCode="0.0">
                  <c:v>15.020251999999999</c:v>
                </c:pt>
                <c:pt idx="159" formatCode="0.0">
                  <c:v>15.000016</c:v>
                </c:pt>
                <c:pt idx="160" formatCode="0.0">
                  <c:v>15.000016</c:v>
                </c:pt>
                <c:pt idx="161" formatCode="0.0">
                  <c:v>15.013109</c:v>
                </c:pt>
                <c:pt idx="162" formatCode="0.0">
                  <c:v>15.000356</c:v>
                </c:pt>
                <c:pt idx="163" formatCode="0.0">
                  <c:v>15.000004000000001</c:v>
                </c:pt>
                <c:pt idx="164" formatCode="0.0">
                  <c:v>15.000004000000001</c:v>
                </c:pt>
                <c:pt idx="165" formatCode="0.0">
                  <c:v>15.000006000000001</c:v>
                </c:pt>
                <c:pt idx="166" formatCode="0.0">
                  <c:v>14.001683999999999</c:v>
                </c:pt>
                <c:pt idx="167" formatCode="0.0">
                  <c:v>14.001246</c:v>
                </c:pt>
                <c:pt idx="168" formatCode="0.0">
                  <c:v>13.594993000000001</c:v>
                </c:pt>
                <c:pt idx="169" formatCode="0.0">
                  <c:v>14.000016</c:v>
                </c:pt>
                <c:pt idx="170" formatCode="0.0">
                  <c:v>14.000718000000001</c:v>
                </c:pt>
                <c:pt idx="171" formatCode="0.0">
                  <c:v>14.000475</c:v>
                </c:pt>
                <c:pt idx="172" formatCode="0.0">
                  <c:v>14.005584000000001</c:v>
                </c:pt>
                <c:pt idx="173" formatCode="0.0">
                  <c:v>14.000195</c:v>
                </c:pt>
                <c:pt idx="174" formatCode="0.0">
                  <c:v>14.001823999999999</c:v>
                </c:pt>
                <c:pt idx="175" formatCode="0.0">
                  <c:v>14.001666999999999</c:v>
                </c:pt>
                <c:pt idx="176" formatCode="0.0">
                  <c:v>14.008825</c:v>
                </c:pt>
                <c:pt idx="177" formatCode="0.0">
                  <c:v>14.017454000000001</c:v>
                </c:pt>
                <c:pt idx="178" formatCode="0.0">
                  <c:v>14.003995</c:v>
                </c:pt>
                <c:pt idx="179" formatCode="0.0">
                  <c:v>14.000012999999999</c:v>
                </c:pt>
                <c:pt idx="180" formatCode="0.0">
                  <c:v>14.000168</c:v>
                </c:pt>
                <c:pt idx="181" formatCode="0.0">
                  <c:v>14.002424</c:v>
                </c:pt>
                <c:pt idx="182" formatCode="0.0">
                  <c:v>14.000022</c:v>
                </c:pt>
                <c:pt idx="183" formatCode="0.0">
                  <c:v>14.000059</c:v>
                </c:pt>
                <c:pt idx="184" formatCode="0.0">
                  <c:v>14.000009</c:v>
                </c:pt>
                <c:pt idx="185" formatCode="0.0">
                  <c:v>14.000007999999999</c:v>
                </c:pt>
                <c:pt idx="186" formatCode="0.0">
                  <c:v>14.000003</c:v>
                </c:pt>
                <c:pt idx="187" formatCode="0.0">
                  <c:v>14.000007</c:v>
                </c:pt>
                <c:pt idx="188" formatCode="0.0">
                  <c:v>14.000007999999999</c:v>
                </c:pt>
                <c:pt idx="189" formatCode="0.0">
                  <c:v>13.996</c:v>
                </c:pt>
                <c:pt idx="190" formatCode="0.0">
                  <c:v>13.930778</c:v>
                </c:pt>
                <c:pt idx="191" formatCode="0.0">
                  <c:v>14.000002</c:v>
                </c:pt>
                <c:pt idx="192" formatCode="0.0">
                  <c:v>14.000019</c:v>
                </c:pt>
                <c:pt idx="193" formatCode="0.0">
                  <c:v>14.001562</c:v>
                </c:pt>
                <c:pt idx="194" formatCode="0.0">
                  <c:v>14.006513999999999</c:v>
                </c:pt>
                <c:pt idx="195" formatCode="0.0">
                  <c:v>14.001682000000001</c:v>
                </c:pt>
                <c:pt idx="196" formatCode="0.0">
                  <c:v>14.000947999999999</c:v>
                </c:pt>
                <c:pt idx="197" formatCode="0.0">
                  <c:v>14.000035</c:v>
                </c:pt>
                <c:pt idx="198" formatCode="0.0">
                  <c:v>14.002808</c:v>
                </c:pt>
                <c:pt idx="199" formatCode="0.0">
                  <c:v>14.014681</c:v>
                </c:pt>
                <c:pt idx="200" formatCode="0.0">
                  <c:v>14.003043999999999</c:v>
                </c:pt>
                <c:pt idx="201" formatCode="0.0">
                  <c:v>14.000007</c:v>
                </c:pt>
                <c:pt idx="202" formatCode="0.0">
                  <c:v>14</c:v>
                </c:pt>
                <c:pt idx="203" formatCode="0.0">
                  <c:v>14.123065</c:v>
                </c:pt>
                <c:pt idx="204" formatCode="0.0">
                  <c:v>14.001165</c:v>
                </c:pt>
                <c:pt idx="205" formatCode="0.0">
                  <c:v>14.000932000000001</c:v>
                </c:pt>
                <c:pt idx="206" formatCode="0.0">
                  <c:v>14.001166</c:v>
                </c:pt>
                <c:pt idx="207" formatCode="0.0">
                  <c:v>14.000113000000001</c:v>
                </c:pt>
                <c:pt idx="208" formatCode="0.0">
                  <c:v>14.000097</c:v>
                </c:pt>
                <c:pt idx="209" formatCode="0.0">
                  <c:v>14.000423</c:v>
                </c:pt>
                <c:pt idx="210" formatCode="0.0">
                  <c:v>12.062321000000001</c:v>
                </c:pt>
                <c:pt idx="211" formatCode="0.0">
                  <c:v>12.048854</c:v>
                </c:pt>
                <c:pt idx="212" formatCode="0.0">
                  <c:v>12.020049999999999</c:v>
                </c:pt>
                <c:pt idx="213" formatCode="0.0">
                  <c:v>12.020498999999999</c:v>
                </c:pt>
                <c:pt idx="214" formatCode="0.0">
                  <c:v>12.059085</c:v>
                </c:pt>
                <c:pt idx="215" formatCode="0.0">
                  <c:v>12.091670000000001</c:v>
                </c:pt>
                <c:pt idx="216" formatCode="0.0">
                  <c:v>12.061163000000001</c:v>
                </c:pt>
                <c:pt idx="217" formatCode="0.0">
                  <c:v>12.089466</c:v>
                </c:pt>
                <c:pt idx="218" formatCode="0.0">
                  <c:v>12.176145</c:v>
                </c:pt>
                <c:pt idx="219" formatCode="0.0">
                  <c:v>12.142189</c:v>
                </c:pt>
                <c:pt idx="220" formatCode="0.0">
                  <c:v>12.137962</c:v>
                </c:pt>
                <c:pt idx="221" formatCode="0.0">
                  <c:v>12.088476</c:v>
                </c:pt>
                <c:pt idx="222" formatCode="0.0">
                  <c:v>12.090389999999999</c:v>
                </c:pt>
                <c:pt idx="223" formatCode="0.0">
                  <c:v>12.072289</c:v>
                </c:pt>
                <c:pt idx="224" formatCode="0.0">
                  <c:v>12.063575999999999</c:v>
                </c:pt>
                <c:pt idx="225" formatCode="0.0">
                  <c:v>12.044191</c:v>
                </c:pt>
                <c:pt idx="226" formatCode="0.0">
                  <c:v>12.108153</c:v>
                </c:pt>
                <c:pt idx="227" formatCode="0.0">
                  <c:v>12.068125</c:v>
                </c:pt>
                <c:pt idx="228" formatCode="0.0">
                  <c:v>12.078557</c:v>
                </c:pt>
                <c:pt idx="229" formatCode="0.0">
                  <c:v>12.034787</c:v>
                </c:pt>
                <c:pt idx="230" formatCode="0.0">
                  <c:v>12.014645</c:v>
                </c:pt>
                <c:pt idx="231" formatCode="0.0">
                  <c:v>12.029871999999999</c:v>
                </c:pt>
                <c:pt idx="232" formatCode="0.0">
                  <c:v>12.035686</c:v>
                </c:pt>
                <c:pt idx="233" formatCode="0.0">
                  <c:v>12.009007</c:v>
                </c:pt>
                <c:pt idx="234" formatCode="0.0">
                  <c:v>12.033792999999999</c:v>
                </c:pt>
                <c:pt idx="235" formatCode="0.0">
                  <c:v>12.016024</c:v>
                </c:pt>
                <c:pt idx="236" formatCode="0.0">
                  <c:v>12.006228</c:v>
                </c:pt>
                <c:pt idx="237" formatCode="0.0">
                  <c:v>12.009753999999999</c:v>
                </c:pt>
                <c:pt idx="238" formatCode="0.0">
                  <c:v>12.014830999999999</c:v>
                </c:pt>
                <c:pt idx="239" formatCode="0.0">
                  <c:v>12.017607</c:v>
                </c:pt>
                <c:pt idx="240" formatCode="0.0">
                  <c:v>12.018122</c:v>
                </c:pt>
                <c:pt idx="241" formatCode="0.0">
                  <c:v>12.226986999999999</c:v>
                </c:pt>
                <c:pt idx="242" formatCode="0.0">
                  <c:v>12.789444</c:v>
                </c:pt>
                <c:pt idx="243" formatCode="0.0">
                  <c:v>12.940419</c:v>
                </c:pt>
                <c:pt idx="244" formatCode="0.0">
                  <c:v>12.605637</c:v>
                </c:pt>
                <c:pt idx="245" formatCode="0.0">
                  <c:v>12.031779999999999</c:v>
                </c:pt>
                <c:pt idx="246" formatCode="0.0">
                  <c:v>12.002246</c:v>
                </c:pt>
                <c:pt idx="247" formatCode="0.0">
                  <c:v>12.005728</c:v>
                </c:pt>
                <c:pt idx="248" formatCode="0.0">
                  <c:v>12.021635</c:v>
                </c:pt>
                <c:pt idx="249" formatCode="0.0">
                  <c:v>12.167977</c:v>
                </c:pt>
                <c:pt idx="250" formatCode="0.0">
                  <c:v>12.622033999999999</c:v>
                </c:pt>
                <c:pt idx="251" formatCode="0.0">
                  <c:v>12.920431000000001</c:v>
                </c:pt>
                <c:pt idx="252" formatCode="0.0">
                  <c:v>12.370156</c:v>
                </c:pt>
                <c:pt idx="253" formatCode="0.0">
                  <c:v>12.01793</c:v>
                </c:pt>
                <c:pt idx="254" formatCode="0.0">
                  <c:v>12.014794</c:v>
                </c:pt>
                <c:pt idx="255" formatCode="0.0">
                  <c:v>12.019767</c:v>
                </c:pt>
                <c:pt idx="256" formatCode="0.0">
                  <c:v>12.048325</c:v>
                </c:pt>
                <c:pt idx="257" formatCode="0.0">
                  <c:v>12.153226</c:v>
                </c:pt>
                <c:pt idx="258" formatCode="0.0">
                  <c:v>12.118857999999999</c:v>
                </c:pt>
                <c:pt idx="259" formatCode="0.0">
                  <c:v>12.07823</c:v>
                </c:pt>
                <c:pt idx="260" formatCode="0.0">
                  <c:v>12.424025</c:v>
                </c:pt>
                <c:pt idx="261" formatCode="0.0">
                  <c:v>12.125481000000001</c:v>
                </c:pt>
                <c:pt idx="262" formatCode="0.0">
                  <c:v>12.226566</c:v>
                </c:pt>
                <c:pt idx="263" formatCode="0.0">
                  <c:v>12.030231000000001</c:v>
                </c:pt>
                <c:pt idx="264" formatCode="0.0">
                  <c:v>12.000133</c:v>
                </c:pt>
                <c:pt idx="265" formatCode="0.0">
                  <c:v>12.000124</c:v>
                </c:pt>
                <c:pt idx="266" formatCode="0.0">
                  <c:v>12.144861000000001</c:v>
                </c:pt>
                <c:pt idx="267" formatCode="0.0">
                  <c:v>12.280227999999999</c:v>
                </c:pt>
                <c:pt idx="268" formatCode="0.0">
                  <c:v>11.691148999999999</c:v>
                </c:pt>
                <c:pt idx="269" formatCode="0.0">
                  <c:v>11.582464999999999</c:v>
                </c:pt>
                <c:pt idx="270" formatCode="0.0">
                  <c:v>11.579689999999999</c:v>
                </c:pt>
                <c:pt idx="271" formatCode="0.0">
                  <c:v>11.531421</c:v>
                </c:pt>
                <c:pt idx="272" formatCode="0.0">
                  <c:v>11.511315</c:v>
                </c:pt>
                <c:pt idx="273" formatCode="0.0">
                  <c:v>11.523092</c:v>
                </c:pt>
                <c:pt idx="274" formatCode="0.0">
                  <c:v>11.526450000000001</c:v>
                </c:pt>
                <c:pt idx="275" formatCode="0.0">
                  <c:v>11.804607000000001</c:v>
                </c:pt>
                <c:pt idx="276" formatCode="0.0">
                  <c:v>11.836243</c:v>
                </c:pt>
                <c:pt idx="277" formatCode="0.0">
                  <c:v>11.599221</c:v>
                </c:pt>
                <c:pt idx="278" formatCode="0.0">
                  <c:v>11.583207</c:v>
                </c:pt>
                <c:pt idx="279" formatCode="0.0">
                  <c:v>11.5137</c:v>
                </c:pt>
                <c:pt idx="280" formatCode="0.0">
                  <c:v>11.515682</c:v>
                </c:pt>
                <c:pt idx="281" formatCode="0.0">
                  <c:v>11.568227</c:v>
                </c:pt>
                <c:pt idx="282" formatCode="0.0">
                  <c:v>11.625346</c:v>
                </c:pt>
                <c:pt idx="283" formatCode="0.0">
                  <c:v>11.724501</c:v>
                </c:pt>
                <c:pt idx="284" formatCode="0.0">
                  <c:v>11.588240000000001</c:v>
                </c:pt>
                <c:pt idx="285" formatCode="0.0">
                  <c:v>11.546547</c:v>
                </c:pt>
                <c:pt idx="286" formatCode="0.0">
                  <c:v>11.528358000000001</c:v>
                </c:pt>
                <c:pt idx="287" formatCode="0.0">
                  <c:v>11.579974</c:v>
                </c:pt>
                <c:pt idx="288" formatCode="0.0">
                  <c:v>11.564565</c:v>
                </c:pt>
                <c:pt idx="289" formatCode="0.0">
                  <c:v>11.600204</c:v>
                </c:pt>
                <c:pt idx="290" formatCode="0.0">
                  <c:v>11.611552</c:v>
                </c:pt>
                <c:pt idx="291" formatCode="0.0">
                  <c:v>11.551163000000001</c:v>
                </c:pt>
                <c:pt idx="292" formatCode="0.0">
                  <c:v>11.536428000000001</c:v>
                </c:pt>
                <c:pt idx="293" formatCode="0.0">
                  <c:v>11.538276</c:v>
                </c:pt>
                <c:pt idx="294" formatCode="0.0">
                  <c:v>11.585554</c:v>
                </c:pt>
                <c:pt idx="295" formatCode="0.0">
                  <c:v>11.533177</c:v>
                </c:pt>
                <c:pt idx="296" formatCode="0.0">
                  <c:v>11.529595</c:v>
                </c:pt>
                <c:pt idx="297" formatCode="0.0">
                  <c:v>11.552473000000001</c:v>
                </c:pt>
                <c:pt idx="298" formatCode="0.0">
                  <c:v>11.069626</c:v>
                </c:pt>
                <c:pt idx="299" formatCode="0.0">
                  <c:v>11.048723000000001</c:v>
                </c:pt>
                <c:pt idx="300" formatCode="0.0">
                  <c:v>11.055453</c:v>
                </c:pt>
                <c:pt idx="301" formatCode="0.0">
                  <c:v>11.036296999999999</c:v>
                </c:pt>
                <c:pt idx="302" formatCode="0.0">
                  <c:v>11.134841</c:v>
                </c:pt>
                <c:pt idx="303" formatCode="0.0">
                  <c:v>11.372726</c:v>
                </c:pt>
                <c:pt idx="304" formatCode="0.0">
                  <c:v>12.193846000000001</c:v>
                </c:pt>
                <c:pt idx="305" formatCode="0.0">
                  <c:v>11.974387999999999</c:v>
                </c:pt>
                <c:pt idx="306" formatCode="0.0">
                  <c:v>12.5198</c:v>
                </c:pt>
                <c:pt idx="307" formatCode="0.0">
                  <c:v>12.264457</c:v>
                </c:pt>
                <c:pt idx="308" formatCode="0.0">
                  <c:v>11.424481999999999</c:v>
                </c:pt>
                <c:pt idx="309" formatCode="0.0">
                  <c:v>11.184946999999999</c:v>
                </c:pt>
                <c:pt idx="310" formatCode="0.0">
                  <c:v>11.424580000000001</c:v>
                </c:pt>
                <c:pt idx="311" formatCode="0.0">
                  <c:v>11.219211</c:v>
                </c:pt>
                <c:pt idx="312" formatCode="0.0">
                  <c:v>11.296374</c:v>
                </c:pt>
                <c:pt idx="313" formatCode="0.0">
                  <c:v>11.222044</c:v>
                </c:pt>
                <c:pt idx="314" formatCode="0.0">
                  <c:v>12.079882</c:v>
                </c:pt>
                <c:pt idx="315" formatCode="0.0">
                  <c:v>11.73174</c:v>
                </c:pt>
                <c:pt idx="316" formatCode="0.0">
                  <c:v>11.479927</c:v>
                </c:pt>
                <c:pt idx="317" formatCode="0.0">
                  <c:v>11.234235</c:v>
                </c:pt>
                <c:pt idx="318" formatCode="0.0">
                  <c:v>11.144116</c:v>
                </c:pt>
                <c:pt idx="319" formatCode="0.0">
                  <c:v>11.016494</c:v>
                </c:pt>
                <c:pt idx="320" formatCode="0.0">
                  <c:v>11.034933000000001</c:v>
                </c:pt>
                <c:pt idx="321" formatCode="0.0">
                  <c:v>11.016328</c:v>
                </c:pt>
                <c:pt idx="322" formatCode="0.0">
                  <c:v>11.010075000000001</c:v>
                </c:pt>
                <c:pt idx="323" formatCode="0.0">
                  <c:v>11.009181999999999</c:v>
                </c:pt>
                <c:pt idx="324" formatCode="0.0">
                  <c:v>11.201805999999999</c:v>
                </c:pt>
                <c:pt idx="325" formatCode="0.0">
                  <c:v>11.694474</c:v>
                </c:pt>
                <c:pt idx="326" formatCode="0.0">
                  <c:v>11.678326999999999</c:v>
                </c:pt>
                <c:pt idx="327" formatCode="0.0">
                  <c:v>11.628532999999999</c:v>
                </c:pt>
                <c:pt idx="328" formatCode="0.0">
                  <c:v>12.157156000000001</c:v>
                </c:pt>
                <c:pt idx="329" formatCode="0.0">
                  <c:v>11.979628999999999</c:v>
                </c:pt>
                <c:pt idx="330" formatCode="0.0">
                  <c:v>11.910189000000001</c:v>
                </c:pt>
                <c:pt idx="331" formatCode="0.0">
                  <c:v>11.630003</c:v>
                </c:pt>
                <c:pt idx="332" formatCode="0.0">
                  <c:v>12.013525</c:v>
                </c:pt>
                <c:pt idx="333" formatCode="0.0">
                  <c:v>11.899654</c:v>
                </c:pt>
                <c:pt idx="334" formatCode="0.0">
                  <c:v>11.568458</c:v>
                </c:pt>
                <c:pt idx="335" formatCode="0.0">
                  <c:v>11.390393</c:v>
                </c:pt>
                <c:pt idx="336" formatCode="0.0">
                  <c:v>11.214763</c:v>
                </c:pt>
                <c:pt idx="337" formatCode="0.0">
                  <c:v>11.204552</c:v>
                </c:pt>
                <c:pt idx="338" formatCode="0.0">
                  <c:v>11.504386</c:v>
                </c:pt>
                <c:pt idx="339" formatCode="0.0">
                  <c:v>11.667275</c:v>
                </c:pt>
                <c:pt idx="340" formatCode="0.0">
                  <c:v>11.655136000000001</c:v>
                </c:pt>
                <c:pt idx="341" formatCode="0.0">
                  <c:v>11.235696000000001</c:v>
                </c:pt>
                <c:pt idx="342" formatCode="0.0">
                  <c:v>11.205147</c:v>
                </c:pt>
                <c:pt idx="343" formatCode="0.0">
                  <c:v>11.213013</c:v>
                </c:pt>
                <c:pt idx="344" formatCode="0.0">
                  <c:v>11.653487</c:v>
                </c:pt>
                <c:pt idx="345" formatCode="0.0">
                  <c:v>11.363073999999999</c:v>
                </c:pt>
                <c:pt idx="346" formatCode="0.0">
                  <c:v>11.508333</c:v>
                </c:pt>
                <c:pt idx="347" formatCode="0.0">
                  <c:v>11.73931</c:v>
                </c:pt>
                <c:pt idx="348" formatCode="0.0">
                  <c:v>11.325391</c:v>
                </c:pt>
                <c:pt idx="349" formatCode="0.0">
                  <c:v>11.280224</c:v>
                </c:pt>
                <c:pt idx="350" formatCode="0.0">
                  <c:v>11.32245</c:v>
                </c:pt>
                <c:pt idx="351" formatCode="0.0">
                  <c:v>11.287464</c:v>
                </c:pt>
                <c:pt idx="352" formatCode="0.0">
                  <c:v>11.235386</c:v>
                </c:pt>
                <c:pt idx="353" formatCode="0.0">
                  <c:v>11.661996</c:v>
                </c:pt>
                <c:pt idx="354" formatCode="0.0">
                  <c:v>11.518162</c:v>
                </c:pt>
                <c:pt idx="355" formatCode="0.0">
                  <c:v>11.257880999999999</c:v>
                </c:pt>
                <c:pt idx="356" formatCode="0.0">
                  <c:v>11.212154</c:v>
                </c:pt>
                <c:pt idx="357" formatCode="0.0">
                  <c:v>11.263278</c:v>
                </c:pt>
                <c:pt idx="358" formatCode="0.0">
                  <c:v>11.322063</c:v>
                </c:pt>
                <c:pt idx="359" formatCode="0.0">
                  <c:v>11.241338000000001</c:v>
                </c:pt>
                <c:pt idx="360" formatCode="0.0">
                  <c:v>11.249043</c:v>
                </c:pt>
                <c:pt idx="361" formatCode="0.0">
                  <c:v>11.106411</c:v>
                </c:pt>
                <c:pt idx="362" formatCode="0.0">
                  <c:v>11.089257999999999</c:v>
                </c:pt>
                <c:pt idx="363" formatCode="0.0">
                  <c:v>10.157902999999999</c:v>
                </c:pt>
                <c:pt idx="364" formatCode="0.0">
                  <c:v>10.084160000000001</c:v>
                </c:pt>
                <c:pt idx="365" formatCode="0.0">
                  <c:v>10.160375999999999</c:v>
                </c:pt>
                <c:pt idx="366" formatCode="0.0">
                  <c:v>10.108306000000001</c:v>
                </c:pt>
                <c:pt idx="367" formatCode="0.0">
                  <c:v>10.073504</c:v>
                </c:pt>
                <c:pt idx="368" formatCode="0.0">
                  <c:v>10.170306</c:v>
                </c:pt>
                <c:pt idx="369" formatCode="0.0">
                  <c:v>10.165813999999999</c:v>
                </c:pt>
                <c:pt idx="370" formatCode="0.0">
                  <c:v>10.168476</c:v>
                </c:pt>
                <c:pt idx="371" formatCode="0.0">
                  <c:v>10.120345</c:v>
                </c:pt>
                <c:pt idx="372" formatCode="0.0">
                  <c:v>10.138726999999999</c:v>
                </c:pt>
                <c:pt idx="373" formatCode="0.0">
                  <c:v>10.318678999999999</c:v>
                </c:pt>
                <c:pt idx="374" formatCode="0.0">
                  <c:v>10.168682</c:v>
                </c:pt>
                <c:pt idx="375" formatCode="0.0">
                  <c:v>10.091226000000001</c:v>
                </c:pt>
                <c:pt idx="376" formatCode="0.0">
                  <c:v>10.135047999999999</c:v>
                </c:pt>
                <c:pt idx="377" formatCode="0.0">
                  <c:v>10.181754</c:v>
                </c:pt>
                <c:pt idx="378" formatCode="0.0">
                  <c:v>10.851769000000001</c:v>
                </c:pt>
                <c:pt idx="379" formatCode="0.0">
                  <c:v>10.850383000000001</c:v>
                </c:pt>
                <c:pt idx="380" formatCode="0.0">
                  <c:v>10.600130999999999</c:v>
                </c:pt>
                <c:pt idx="381" formatCode="0.0">
                  <c:v>10.147030000000001</c:v>
                </c:pt>
                <c:pt idx="382" formatCode="0.0">
                  <c:v>10.112054000000001</c:v>
                </c:pt>
                <c:pt idx="383" formatCode="0.0">
                  <c:v>10.071187</c:v>
                </c:pt>
                <c:pt idx="384" formatCode="0.0">
                  <c:v>10.053459</c:v>
                </c:pt>
                <c:pt idx="385" formatCode="0.0">
                  <c:v>10.266586</c:v>
                </c:pt>
                <c:pt idx="386" formatCode="0.0">
                  <c:v>10.145523000000001</c:v>
                </c:pt>
                <c:pt idx="387" formatCode="0.0">
                  <c:v>10.21875</c:v>
                </c:pt>
                <c:pt idx="388" formatCode="0.0">
                  <c:v>10.200882</c:v>
                </c:pt>
                <c:pt idx="389" formatCode="0.0">
                  <c:v>10.141294</c:v>
                </c:pt>
                <c:pt idx="390" formatCode="0.0">
                  <c:v>10.131579</c:v>
                </c:pt>
                <c:pt idx="391" formatCode="0.0">
                  <c:v>10.290462</c:v>
                </c:pt>
                <c:pt idx="392" formatCode="0.0">
                  <c:v>10.242127</c:v>
                </c:pt>
                <c:pt idx="393" formatCode="0.0">
                  <c:v>10.261912000000001</c:v>
                </c:pt>
                <c:pt idx="394" formatCode="0.0">
                  <c:v>10.609423</c:v>
                </c:pt>
                <c:pt idx="395" formatCode="0.0">
                  <c:v>10.837557</c:v>
                </c:pt>
                <c:pt idx="396" formatCode="0.0">
                  <c:v>11.478159</c:v>
                </c:pt>
                <c:pt idx="397" formatCode="0.0">
                  <c:v>11.607633</c:v>
                </c:pt>
                <c:pt idx="398" formatCode="0.0">
                  <c:v>10.938807000000001</c:v>
                </c:pt>
                <c:pt idx="399" formatCode="0.0">
                  <c:v>10.570606</c:v>
                </c:pt>
                <c:pt idx="400" formatCode="0.0">
                  <c:v>10.276348</c:v>
                </c:pt>
                <c:pt idx="401" formatCode="0.0">
                  <c:v>10.241365999999999</c:v>
                </c:pt>
                <c:pt idx="402" formatCode="0.0">
                  <c:v>10.281033000000001</c:v>
                </c:pt>
                <c:pt idx="403" formatCode="0.0">
                  <c:v>10.294319</c:v>
                </c:pt>
                <c:pt idx="404" formatCode="0.0">
                  <c:v>10.221776</c:v>
                </c:pt>
                <c:pt idx="405" formatCode="0.0">
                  <c:v>10.075791000000001</c:v>
                </c:pt>
                <c:pt idx="406" formatCode="0.0">
                  <c:v>10.14636</c:v>
                </c:pt>
                <c:pt idx="407" formatCode="0.0">
                  <c:v>10.139526</c:v>
                </c:pt>
                <c:pt idx="408" formatCode="0.0">
                  <c:v>10.097871</c:v>
                </c:pt>
                <c:pt idx="409" formatCode="0.0">
                  <c:v>10.038360000000001</c:v>
                </c:pt>
                <c:pt idx="410" formatCode="0.0">
                  <c:v>10.039569999999999</c:v>
                </c:pt>
                <c:pt idx="411" formatCode="0.0">
                  <c:v>10.020972</c:v>
                </c:pt>
                <c:pt idx="412" formatCode="0.0">
                  <c:v>10.016050999999999</c:v>
                </c:pt>
                <c:pt idx="413" formatCode="0.0">
                  <c:v>10.01323</c:v>
                </c:pt>
                <c:pt idx="414" formatCode="0.0">
                  <c:v>10.014932</c:v>
                </c:pt>
                <c:pt idx="415" formatCode="0.0">
                  <c:v>10.075002</c:v>
                </c:pt>
                <c:pt idx="416" formatCode="0.0">
                  <c:v>10.036327999999999</c:v>
                </c:pt>
                <c:pt idx="417" formatCode="0.0">
                  <c:v>10.037212999999999</c:v>
                </c:pt>
                <c:pt idx="418" formatCode="0.0">
                  <c:v>10.030150000000001</c:v>
                </c:pt>
                <c:pt idx="419" formatCode="0.0">
                  <c:v>10.035254</c:v>
                </c:pt>
                <c:pt idx="420" formatCode="0.0">
                  <c:v>10.06114</c:v>
                </c:pt>
                <c:pt idx="421" formatCode="0.0">
                  <c:v>10.369154999999999</c:v>
                </c:pt>
                <c:pt idx="422" formatCode="0.0">
                  <c:v>10.632128</c:v>
                </c:pt>
                <c:pt idx="423" formatCode="0.0">
                  <c:v>10.078448</c:v>
                </c:pt>
                <c:pt idx="424" formatCode="0.0">
                  <c:v>10.018312999999999</c:v>
                </c:pt>
                <c:pt idx="425" formatCode="0.0">
                  <c:v>10.026396</c:v>
                </c:pt>
                <c:pt idx="426" formatCode="0.0">
                  <c:v>10.022634</c:v>
                </c:pt>
                <c:pt idx="427" formatCode="0.0">
                  <c:v>10.011426999999999</c:v>
                </c:pt>
                <c:pt idx="428" formatCode="0.0">
                  <c:v>10.004019</c:v>
                </c:pt>
                <c:pt idx="429" formatCode="0.0">
                  <c:v>9.9986669999999993</c:v>
                </c:pt>
                <c:pt idx="430" formatCode="0.0">
                  <c:v>10.000004000000001</c:v>
                </c:pt>
                <c:pt idx="431" formatCode="0.0">
                  <c:v>9.5014040000000008</c:v>
                </c:pt>
                <c:pt idx="432" formatCode="0.0">
                  <c:v>9.5006360000000001</c:v>
                </c:pt>
                <c:pt idx="433" formatCode="0.0">
                  <c:v>9.5012229999999995</c:v>
                </c:pt>
                <c:pt idx="434" formatCode="0.0">
                  <c:v>9.5029959999999996</c:v>
                </c:pt>
                <c:pt idx="435" formatCode="0.0">
                  <c:v>9.5018030000000007</c:v>
                </c:pt>
                <c:pt idx="436" formatCode="0.0">
                  <c:v>9.5006079999999997</c:v>
                </c:pt>
                <c:pt idx="437" formatCode="0.0">
                  <c:v>9.5010239999999992</c:v>
                </c:pt>
                <c:pt idx="438" formatCode="0.0">
                  <c:v>9.500095</c:v>
                </c:pt>
                <c:pt idx="439" formatCode="0.0">
                  <c:v>9.4921500000000005</c:v>
                </c:pt>
                <c:pt idx="440" formatCode="0.0">
                  <c:v>9.5001879999999996</c:v>
                </c:pt>
                <c:pt idx="441" formatCode="0.0">
                  <c:v>9.50122</c:v>
                </c:pt>
                <c:pt idx="442" formatCode="0.0">
                  <c:v>9.5054949999999998</c:v>
                </c:pt>
                <c:pt idx="443" formatCode="0.0">
                  <c:v>9.6193190000000008</c:v>
                </c:pt>
                <c:pt idx="444" formatCode="0.0">
                  <c:v>9.5385489999999997</c:v>
                </c:pt>
                <c:pt idx="445" formatCode="0.0">
                  <c:v>9.5110080000000004</c:v>
                </c:pt>
                <c:pt idx="446" formatCode="0.0">
                  <c:v>9.612717</c:v>
                </c:pt>
                <c:pt idx="447" formatCode="0.0">
                  <c:v>9.5927279999999993</c:v>
                </c:pt>
                <c:pt idx="448" formatCode="0.0">
                  <c:v>9.5387819999999994</c:v>
                </c:pt>
                <c:pt idx="449" formatCode="0.0">
                  <c:v>9.6374270000000006</c:v>
                </c:pt>
                <c:pt idx="450" formatCode="0.0">
                  <c:v>9.9978549999999995</c:v>
                </c:pt>
                <c:pt idx="451" formatCode="0.0">
                  <c:v>10.882004</c:v>
                </c:pt>
                <c:pt idx="452" formatCode="0.0">
                  <c:v>9.6639970000000002</c:v>
                </c:pt>
                <c:pt idx="453" formatCode="0.0">
                  <c:v>9.5082509999999996</c:v>
                </c:pt>
                <c:pt idx="454" formatCode="0.0">
                  <c:v>9.474456</c:v>
                </c:pt>
                <c:pt idx="455" formatCode="0.0">
                  <c:v>9.4917079999999991</c:v>
                </c:pt>
                <c:pt idx="456" formatCode="0.0">
                  <c:v>9.5009870000000003</c:v>
                </c:pt>
                <c:pt idx="457" formatCode="0.0">
                  <c:v>9.5168020000000002</c:v>
                </c:pt>
                <c:pt idx="458" formatCode="0.0">
                  <c:v>9.5012129999999999</c:v>
                </c:pt>
                <c:pt idx="459" formatCode="0.0">
                  <c:v>9.5019430000000007</c:v>
                </c:pt>
                <c:pt idx="460" formatCode="0.0">
                  <c:v>9.5017720000000008</c:v>
                </c:pt>
              </c:numCache>
            </c:numRef>
          </c:val>
          <c:smooth val="0"/>
          <c:extLst xmlns:c16r2="http://schemas.microsoft.com/office/drawing/2015/06/chart">
            <c:ext xmlns:c16="http://schemas.microsoft.com/office/drawing/2014/chart" uri="{C3380CC4-5D6E-409C-BE32-E72D297353CC}">
              <c16:uniqueId val="{00000002-F609-4388-B3D5-CA8D5141E73D}"/>
            </c:ext>
          </c:extLst>
        </c:ser>
        <c:dLbls>
          <c:showLegendKey val="0"/>
          <c:showVal val="0"/>
          <c:showCatName val="0"/>
          <c:showSerName val="0"/>
          <c:showPercent val="0"/>
          <c:showBubbleSize val="0"/>
        </c:dLbls>
        <c:marker val="1"/>
        <c:smooth val="0"/>
        <c:axId val="212090880"/>
        <c:axId val="217505088"/>
      </c:lineChart>
      <c:dateAx>
        <c:axId val="212090880"/>
        <c:scaling>
          <c:orientation val="minMax"/>
          <c:min val="42736"/>
        </c:scaling>
        <c:delete val="0"/>
        <c:axPos val="b"/>
        <c:majorGridlines>
          <c:spPr>
            <a:ln w="3175">
              <a:noFill/>
              <a:prstDash val="sysDot"/>
            </a:ln>
          </c:spPr>
        </c:majorGridlines>
        <c:numFmt formatCode="dd/mm/yy;@" sourceLinked="0"/>
        <c:majorTickMark val="out"/>
        <c:minorTickMark val="none"/>
        <c:tickLblPos val="nextTo"/>
        <c:txPr>
          <a:bodyPr rot="-5400000" vert="horz"/>
          <a:lstStyle/>
          <a:p>
            <a:pPr>
              <a:defRPr sz="800" b="0" i="0" u="none" strike="noStrike" baseline="0">
                <a:solidFill>
                  <a:srgbClr val="000000"/>
                </a:solidFill>
                <a:latin typeface="Calibri"/>
                <a:ea typeface="Calibri"/>
                <a:cs typeface="Calibri"/>
              </a:defRPr>
            </a:pPr>
            <a:endParaRPr lang="ru-RU"/>
          </a:p>
        </c:txPr>
        <c:crossAx val="217505088"/>
        <c:crosses val="autoZero"/>
        <c:auto val="1"/>
        <c:lblOffset val="100"/>
        <c:baseTimeUnit val="days"/>
        <c:majorUnit val="6"/>
        <c:majorTimeUnit val="days"/>
      </c:dateAx>
      <c:valAx>
        <c:axId val="217505088"/>
        <c:scaling>
          <c:orientation val="minMax"/>
          <c:max val="13"/>
          <c:min val="9"/>
        </c:scaling>
        <c:delete val="0"/>
        <c:axPos val="l"/>
        <c:majorGridlines>
          <c:spPr>
            <a:ln>
              <a:prstDash val="dash"/>
            </a:ln>
          </c:spPr>
        </c:majorGridlines>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12090880"/>
        <c:crosses val="autoZero"/>
        <c:crossBetween val="between"/>
        <c:majorUnit val="1"/>
        <c:dispUnits>
          <c:builtInUnit val="hundreds"/>
        </c:dispUnits>
      </c:valAx>
    </c:plotArea>
    <c:legend>
      <c:legendPos val="b"/>
      <c:layout>
        <c:manualLayout>
          <c:xMode val="edge"/>
          <c:yMode val="edge"/>
          <c:x val="4.8134318959759378E-2"/>
          <c:y val="0.77362081408002903"/>
          <c:w val="0.91083637221238845"/>
          <c:h val="0.22354108458216917"/>
        </c:manualLayout>
      </c:layout>
      <c:overlay val="0"/>
      <c:txPr>
        <a:bodyPr/>
        <a:lstStyle/>
        <a:p>
          <a:pPr>
            <a:defRPr sz="900"/>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0.01675</cdr:y>
    </cdr:from>
    <cdr:to>
      <cdr:x>1</cdr:x>
      <cdr:y>0.12796</cdr:y>
    </cdr:to>
    <cdr:sp macro="" textlink="">
      <cdr:nvSpPr>
        <cdr:cNvPr id="9" name="TextBox 15"/>
        <cdr:cNvSpPr txBox="1">
          <a:spLocks xmlns:a="http://schemas.openxmlformats.org/drawingml/2006/main" noChangeArrowheads="1"/>
        </cdr:cNvSpPr>
      </cdr:nvSpPr>
      <cdr:spPr bwMode="auto">
        <a:xfrm xmlns:a="http://schemas.openxmlformats.org/drawingml/2006/main">
          <a:off x="0" y="42205"/>
          <a:ext cx="5759450" cy="2802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wrap="square">
          <a:spAutoFit/>
        </a:bodyPr>
        <a:lstStyle xmlns:a="http://schemas.openxmlformats.org/drawingml/2006/main">
          <a:defPPr>
            <a:defRPr lang="kk-KZ"/>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eaLnBrk="1" fontAlgn="auto" hangingPunct="1">
            <a:spcBef>
              <a:spcPts val="0"/>
            </a:spcBef>
            <a:spcAft>
              <a:spcPts val="0"/>
            </a:spcAft>
            <a:defRPr/>
          </a:pPr>
          <a:endParaRPr lang="ru-RU" sz="1200" b="1" dirty="0">
            <a:latin typeface="+mn-lt"/>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45E7-2074-4844-BD71-572FC833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 Ismailkhanova</dc:creator>
  <cp:lastModifiedBy>John Magic</cp:lastModifiedBy>
  <cp:revision>2</cp:revision>
  <cp:lastPrinted>2017-07-28T06:32:00Z</cp:lastPrinted>
  <dcterms:created xsi:type="dcterms:W3CDTF">2017-08-01T04:00:00Z</dcterms:created>
  <dcterms:modified xsi:type="dcterms:W3CDTF">2017-08-01T04:00:00Z</dcterms:modified>
</cp:coreProperties>
</file>