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  <w:r w:rsidRPr="00510971">
        <w:rPr>
          <w:rFonts w:ascii="Verdana" w:eastAsia="Times New Roman" w:hAnsi="Verdana" w:cs="Times New Roman"/>
          <w:noProof/>
          <w:lang w:eastAsia="ru-RU"/>
        </w:rPr>
        <w:drawing>
          <wp:inline distT="0" distB="0" distL="0" distR="0" wp14:anchorId="15E4E517" wp14:editId="093560BA">
            <wp:extent cx="5143500" cy="695325"/>
            <wp:effectExtent l="0" t="0" r="0" b="952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10971">
        <w:rPr>
          <w:rFonts w:ascii="Verdana" w:eastAsia="Times New Roman" w:hAnsi="Verdana" w:cs="Times New Roman"/>
          <w:b/>
          <w:sz w:val="24"/>
          <w:szCs w:val="24"/>
        </w:rPr>
        <w:t xml:space="preserve">ПРЕСС - РЕЛИЗ № </w:t>
      </w:r>
      <w:r w:rsidR="00557F40">
        <w:rPr>
          <w:rFonts w:ascii="Verdana" w:eastAsia="Times New Roman" w:hAnsi="Verdana" w:cs="Times New Roman"/>
          <w:b/>
          <w:sz w:val="24"/>
          <w:szCs w:val="24"/>
        </w:rPr>
        <w:t>8</w:t>
      </w:r>
    </w:p>
    <w:p w:rsidR="000E1B32" w:rsidRPr="00510971" w:rsidRDefault="000E1B32" w:rsidP="000E1B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57F40" w:rsidRPr="00557F40" w:rsidRDefault="00557F40" w:rsidP="00557F4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b/>
          <w:bCs/>
          <w:snapToGrid w:val="0"/>
          <w:sz w:val="24"/>
          <w:szCs w:val="24"/>
        </w:rPr>
        <w:t>О прогнозе инфляции</w:t>
      </w:r>
    </w:p>
    <w:p w:rsidR="000E1B32" w:rsidRPr="00510971" w:rsidRDefault="000E1B32" w:rsidP="000E1B3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E1B32" w:rsidRPr="00510971" w:rsidRDefault="00557F40" w:rsidP="00521568">
      <w:pPr>
        <w:tabs>
          <w:tab w:val="center" w:pos="9498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22</w:t>
      </w:r>
      <w:r w:rsidR="000E1B32" w:rsidRPr="00510971">
        <w:rPr>
          <w:rFonts w:ascii="Verdana" w:eastAsia="Times New Roman" w:hAnsi="Verdana" w:cs="Times New Roman"/>
          <w:sz w:val="24"/>
          <w:szCs w:val="24"/>
        </w:rPr>
        <w:t xml:space="preserve"> февраля 2017 г. </w:t>
      </w:r>
      <w:r w:rsidR="000E1B32" w:rsidRPr="00510971">
        <w:rPr>
          <w:rFonts w:ascii="Verdana" w:eastAsia="Times New Roman" w:hAnsi="Verdana" w:cs="Times New Roman"/>
          <w:sz w:val="24"/>
          <w:szCs w:val="24"/>
        </w:rPr>
        <w:tab/>
      </w:r>
      <w:r w:rsidR="00521568">
        <w:rPr>
          <w:rFonts w:ascii="Verdana" w:eastAsia="Times New Roman" w:hAnsi="Verdana" w:cs="Times New Roman"/>
          <w:sz w:val="24"/>
          <w:szCs w:val="24"/>
        </w:rPr>
        <w:t xml:space="preserve">   </w:t>
      </w:r>
      <w:r w:rsidR="000E1B32" w:rsidRPr="00510971">
        <w:rPr>
          <w:rFonts w:ascii="Verdana" w:eastAsia="Times New Roman" w:hAnsi="Verdana" w:cs="Times New Roman"/>
          <w:sz w:val="24"/>
          <w:szCs w:val="24"/>
        </w:rPr>
        <w:t>г. Алматы</w:t>
      </w:r>
    </w:p>
    <w:p w:rsidR="000E1B32" w:rsidRPr="00510971" w:rsidRDefault="000E1B32" w:rsidP="000E1B3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>Национальный Банк Республики Казахстан 4 раза в год проводит прогнозные раунды, в ходе которых осуществляется прогноз основных макроэкономических показателей, в первую очередь инфляции, на среднесрочный период (предстоящие 7 кварталов). На основе полученных прогнозов и оценок Национальный Банк Республики Казахстан принимает решения по денежно-кредитной политике, в том числе по уровню базовой ставки.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>17 февраля 2017 года Национальный Банк Республики Казахстан завершил очередной прогнозный раунд «Январь-февраль 2017 года»</w:t>
      </w:r>
      <w:r w:rsidRPr="00557F40">
        <w:rPr>
          <w:rFonts w:ascii="Calibri" w:eastAsia="Times New Roman" w:hAnsi="Calibri" w:cs="Times New Roman"/>
          <w:sz w:val="24"/>
          <w:szCs w:val="24"/>
          <w:vertAlign w:val="superscript"/>
        </w:rPr>
        <w:footnoteReference w:id="1"/>
      </w:r>
      <w:r w:rsidRPr="00557F40">
        <w:rPr>
          <w:rFonts w:ascii="Calibri" w:eastAsia="Times New Roman" w:hAnsi="Calibri" w:cs="Times New Roman"/>
          <w:sz w:val="24"/>
          <w:szCs w:val="24"/>
        </w:rPr>
        <w:t>. Прогнозный период с 1 квартала 2017 года по 3 квартал 2018 года.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 xml:space="preserve">Ввиду стабилизации ситуации на рынке нефти, а также более оптимистичных </w:t>
      </w:r>
      <w:proofErr w:type="gramStart"/>
      <w:r w:rsidRPr="00557F40">
        <w:rPr>
          <w:rFonts w:ascii="Calibri" w:eastAsia="Times New Roman" w:hAnsi="Calibri" w:cs="Times New Roman"/>
          <w:sz w:val="24"/>
          <w:szCs w:val="24"/>
        </w:rPr>
        <w:t>консенсус-прогнозов</w:t>
      </w:r>
      <w:proofErr w:type="gramEnd"/>
      <w:r w:rsidRPr="00557F40">
        <w:rPr>
          <w:rFonts w:ascii="Calibri" w:eastAsia="Times New Roman" w:hAnsi="Calibri" w:cs="Times New Roman"/>
          <w:sz w:val="24"/>
          <w:szCs w:val="24"/>
        </w:rPr>
        <w:t xml:space="preserve"> междунаро</w:t>
      </w:r>
      <w:r>
        <w:rPr>
          <w:rFonts w:ascii="Calibri" w:eastAsia="Times New Roman" w:hAnsi="Calibri" w:cs="Times New Roman"/>
          <w:sz w:val="24"/>
          <w:szCs w:val="24"/>
        </w:rPr>
        <w:t xml:space="preserve">дных институтов </w:t>
      </w:r>
      <w:r w:rsidRPr="00557F40">
        <w:rPr>
          <w:rFonts w:ascii="Calibri" w:eastAsia="Times New Roman" w:hAnsi="Calibri" w:cs="Times New Roman"/>
          <w:sz w:val="24"/>
          <w:szCs w:val="24"/>
        </w:rPr>
        <w:t>по цене на нефть, в качестве основного сценария рассматривается оптимистичный сценарий, предполагающий цену на нефть на уровне 50 долларов США за баррель на протяжении всего прогнозного периода</w:t>
      </w:r>
      <w:r w:rsidRPr="00557F40">
        <w:rPr>
          <w:rFonts w:ascii="Calibri" w:eastAsia="Times New Roman" w:hAnsi="Calibri" w:cs="Times New Roman"/>
          <w:sz w:val="24"/>
          <w:szCs w:val="24"/>
          <w:vertAlign w:val="superscript"/>
        </w:rPr>
        <w:footnoteReference w:id="2"/>
      </w:r>
      <w:r w:rsidRPr="00557F40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>Результаты показывают, что годовая инфляция в Казахстане в течение 2017 года будет находиться в целевом коридоре 6-8% (6,5-7,0% к концу 2017 года), а в 2018 году начнет плавное вхождение в целевой коридор 5-7% (график 1). Замедление инфляции будет происходить в результате снижения инфляционных ожиданий, повышения стабильности и предсказуемости ситуации на внутреннем денежном рынке, а также проведения умеренно-сдерживающей денежно-кредитной политики в 2017 году.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>Те</w:t>
      </w:r>
      <w:r>
        <w:rPr>
          <w:rFonts w:ascii="Calibri" w:eastAsia="Times New Roman" w:hAnsi="Calibri" w:cs="Times New Roman"/>
          <w:sz w:val="24"/>
          <w:szCs w:val="24"/>
        </w:rPr>
        <w:t>мпы экономического роста ускоря</w:t>
      </w:r>
      <w:r w:rsidRPr="00557F40">
        <w:rPr>
          <w:rFonts w:ascii="Calibri" w:eastAsia="Times New Roman" w:hAnsi="Calibri" w:cs="Times New Roman"/>
          <w:sz w:val="24"/>
          <w:szCs w:val="24"/>
        </w:rPr>
        <w:t xml:space="preserve">тся до 2,2% в 2017 году и до 4,7% за девять месяцев 2018 года. Экономический рост в данный период будет обеспечен за счет роста внутреннего потребления на фоне роста реальных заработных плат, роста инвестиций в основной капитал в рамках реализации государственных программ поддержки и диверсификации экономики, роста объемов добычи и производства минеральных ресурсов (эффект </w:t>
      </w:r>
      <w:proofErr w:type="spellStart"/>
      <w:r w:rsidRPr="00557F40">
        <w:rPr>
          <w:rFonts w:ascii="Calibri" w:eastAsia="Times New Roman" w:hAnsi="Calibri" w:cs="Times New Roman"/>
          <w:sz w:val="24"/>
          <w:szCs w:val="24"/>
        </w:rPr>
        <w:t>Кашагана</w:t>
      </w:r>
      <w:proofErr w:type="spellEnd"/>
      <w:r w:rsidRPr="00557F40">
        <w:rPr>
          <w:rFonts w:ascii="Calibri" w:eastAsia="Times New Roman" w:hAnsi="Calibri" w:cs="Times New Roman"/>
          <w:sz w:val="24"/>
          <w:szCs w:val="24"/>
        </w:rPr>
        <w:t xml:space="preserve">). Рост импорта потребительских и инвестиционных товаров в результате расширения внутреннего спроса будет выступать сдерживающим фактором роста ВВП. Разрыв выпуска будет отрицательным до 3 квартала 2017 года. С 4 квартала 2017 года реальный ВВП будет находиться немного выше своего потенциального значения, что будет свидетельствовать о слабом </w:t>
      </w:r>
      <w:proofErr w:type="spellStart"/>
      <w:r w:rsidRPr="00557F40">
        <w:rPr>
          <w:rFonts w:ascii="Calibri" w:eastAsia="Times New Roman" w:hAnsi="Calibri" w:cs="Times New Roman"/>
          <w:sz w:val="24"/>
          <w:szCs w:val="24"/>
        </w:rPr>
        <w:t>проинфляционном</w:t>
      </w:r>
      <w:proofErr w:type="spellEnd"/>
      <w:r w:rsidRPr="00557F40">
        <w:rPr>
          <w:rFonts w:ascii="Calibri" w:eastAsia="Times New Roman" w:hAnsi="Calibri" w:cs="Times New Roman"/>
          <w:sz w:val="24"/>
          <w:szCs w:val="24"/>
        </w:rPr>
        <w:t xml:space="preserve"> давлении в экономике. 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 xml:space="preserve">Внешний инфляционный фон характеризуется как умеренно-благоприятный. Это связано, в первую очередь, с замедлением инфляционных процессов в Российской Федерации. Внешний </w:t>
      </w:r>
      <w:r w:rsidRPr="00557F40">
        <w:rPr>
          <w:rFonts w:ascii="Calibri" w:eastAsia="Times New Roman" w:hAnsi="Calibri" w:cs="Times New Roman"/>
          <w:sz w:val="24"/>
          <w:szCs w:val="24"/>
        </w:rPr>
        <w:lastRenderedPageBreak/>
        <w:t>спрос будет восстанавливаться за счет слабого роста экономики Европейского союза, слабоположительных темпов роста ВВП России, ниспадающих, но все еще высоких темпов экономического роста Китая.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 xml:space="preserve">Основные риски инфляции связаны </w:t>
      </w:r>
      <w:r>
        <w:rPr>
          <w:rFonts w:ascii="Calibri" w:eastAsia="Times New Roman" w:hAnsi="Calibri" w:cs="Times New Roman"/>
          <w:sz w:val="24"/>
          <w:szCs w:val="24"/>
        </w:rPr>
        <w:t xml:space="preserve">с </w:t>
      </w:r>
      <w:r w:rsidRPr="00557F40">
        <w:rPr>
          <w:rFonts w:ascii="Calibri" w:eastAsia="Times New Roman" w:hAnsi="Calibri" w:cs="Times New Roman"/>
          <w:sz w:val="24"/>
          <w:szCs w:val="24"/>
        </w:rPr>
        <w:t>высокими темпами роста цен производителей, существенным ростом реальных заработных плат в основных секторах экономики в 4 квартале 2016 года. В свою очередь, при реализации сценария 40 долларов США за баррель годовая инфляция будет находиться бли</w:t>
      </w:r>
      <w:bookmarkStart w:id="0" w:name="_GoBack"/>
      <w:bookmarkEnd w:id="0"/>
      <w:r w:rsidRPr="00557F40">
        <w:rPr>
          <w:rFonts w:ascii="Calibri" w:eastAsia="Times New Roman" w:hAnsi="Calibri" w:cs="Times New Roman"/>
          <w:sz w:val="24"/>
          <w:szCs w:val="24"/>
        </w:rPr>
        <w:t>же к верхней границе целевого коридора в 2017 году (7,5-8,0% к концу 2017 года).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557F40">
        <w:rPr>
          <w:rFonts w:ascii="Calibri" w:eastAsia="Times New Roman" w:hAnsi="Calibri" w:cs="Times New Roman"/>
          <w:sz w:val="24"/>
          <w:szCs w:val="24"/>
        </w:rPr>
        <w:t>Более подробная информация по результатам прогнозного раунда «Январь-февраль 2017 года» будет опубликована в «Обзоре инфляции» за 4 квартал 2016 года на сайте Национального Банка Республики Казахстан.</w:t>
      </w:r>
    </w:p>
    <w:p w:rsidR="00557F40" w:rsidRPr="00557F40" w:rsidRDefault="00557F40" w:rsidP="00557F4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57F40" w:rsidRPr="00557F40" w:rsidRDefault="00557F40" w:rsidP="00557F40">
      <w:pPr>
        <w:tabs>
          <w:tab w:val="left" w:pos="5760"/>
        </w:tabs>
        <w:spacing w:after="0" w:line="240" w:lineRule="auto"/>
        <w:ind w:firstLine="720"/>
        <w:jc w:val="right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График </w:t>
      </w:r>
      <w:r w:rsidR="005B662C">
        <w:rPr>
          <w:rFonts w:ascii="Calibri" w:eastAsia="Times New Roman" w:hAnsi="Calibri" w:cs="Times New Roman"/>
          <w:snapToGrid w:val="0"/>
          <w:sz w:val="24"/>
          <w:szCs w:val="24"/>
        </w:rPr>
        <w:t>1</w:t>
      </w:r>
    </w:p>
    <w:p w:rsidR="00557F40" w:rsidRPr="00557F40" w:rsidRDefault="00557F40" w:rsidP="00557F40">
      <w:pPr>
        <w:tabs>
          <w:tab w:val="left" w:pos="5760"/>
        </w:tabs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557F40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Прогноз и факт инфляции при цене на нефть </w:t>
      </w:r>
      <w:r w:rsidRPr="00557F40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Brent</w:t>
      </w:r>
      <w:r w:rsidRPr="00557F40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50 долл. США за баррель, </w:t>
      </w:r>
    </w:p>
    <w:p w:rsidR="00557F40" w:rsidRPr="00557F40" w:rsidRDefault="00557F40" w:rsidP="00557F40">
      <w:pPr>
        <w:tabs>
          <w:tab w:val="left" w:pos="5760"/>
        </w:tabs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557F40">
        <w:rPr>
          <w:rFonts w:ascii="Calibri" w:eastAsia="Times New Roman" w:hAnsi="Calibri" w:cs="Times New Roman"/>
          <w:b/>
          <w:snapToGrid w:val="0"/>
          <w:sz w:val="24"/>
          <w:szCs w:val="24"/>
        </w:rPr>
        <w:t>в % квартал к соответствующему кварталу предыдущего года (в среднем за квартал)</w:t>
      </w:r>
    </w:p>
    <w:p w:rsidR="00557F40" w:rsidRPr="00557F40" w:rsidRDefault="00557F40" w:rsidP="00557F40">
      <w:pPr>
        <w:tabs>
          <w:tab w:val="left" w:pos="5760"/>
        </w:tabs>
        <w:spacing w:after="0" w:line="240" w:lineRule="auto"/>
        <w:jc w:val="center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965700" cy="3086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6" t="3786" r="7237" b="4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40" w:rsidRPr="00557F40" w:rsidRDefault="00557F40" w:rsidP="00557F40">
      <w:pPr>
        <w:tabs>
          <w:tab w:val="left" w:pos="576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57F40">
        <w:rPr>
          <w:rFonts w:ascii="Calibri" w:eastAsia="Times New Roman" w:hAnsi="Calibri" w:cs="Times New Roman"/>
          <w:snapToGrid w:val="0"/>
          <w:sz w:val="20"/>
          <w:szCs w:val="20"/>
        </w:rPr>
        <w:t>Источник: Комитет по статистике МНЭ РК</w:t>
      </w:r>
    </w:p>
    <w:p w:rsidR="00557F40" w:rsidRPr="00557F40" w:rsidRDefault="00557F40" w:rsidP="00557F40">
      <w:pPr>
        <w:tabs>
          <w:tab w:val="left" w:pos="576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57F40">
        <w:rPr>
          <w:rFonts w:ascii="Calibri" w:eastAsia="Times New Roman" w:hAnsi="Calibri" w:cs="Times New Roman"/>
          <w:snapToGrid w:val="0"/>
          <w:sz w:val="20"/>
          <w:szCs w:val="20"/>
        </w:rPr>
        <w:t xml:space="preserve">Расчеты: Национальный Банк Республики Казахстан </w:t>
      </w:r>
    </w:p>
    <w:p w:rsidR="00557F40" w:rsidRPr="00557F40" w:rsidRDefault="00557F40" w:rsidP="00557F40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557F40" w:rsidRPr="00557F40" w:rsidRDefault="00557F40" w:rsidP="00557F40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557F40" w:rsidRPr="00557F40" w:rsidRDefault="00557F40" w:rsidP="00557F40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557F40" w:rsidRPr="00557F40" w:rsidRDefault="00557F40" w:rsidP="00557F40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521568" w:rsidRPr="00510971" w:rsidRDefault="00521568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rPr>
          <w:rFonts w:ascii="Verdana" w:eastAsia="Times New Roman" w:hAnsi="Verdana" w:cs="Times New Roman"/>
        </w:rPr>
      </w:pPr>
    </w:p>
    <w:p w:rsidR="000E1B32" w:rsidRPr="00510971" w:rsidRDefault="000E1B32" w:rsidP="000E1B32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10971">
        <w:rPr>
          <w:rFonts w:ascii="Calibri" w:eastAsia="Times New Roman" w:hAnsi="Calibri" w:cs="Times New Roman"/>
        </w:rPr>
        <w:t>Более подробную информ</w:t>
      </w:r>
      <w:r w:rsidR="00521568">
        <w:rPr>
          <w:rFonts w:ascii="Calibri" w:eastAsia="Times New Roman" w:hAnsi="Calibri" w:cs="Times New Roman"/>
        </w:rPr>
        <w:t>ацию можно получить по телефону</w:t>
      </w:r>
      <w:r w:rsidRPr="00510971">
        <w:rPr>
          <w:rFonts w:ascii="Calibri" w:eastAsia="Times New Roman" w:hAnsi="Calibri" w:cs="Times New Roman"/>
        </w:rPr>
        <w:t>:</w:t>
      </w:r>
    </w:p>
    <w:p w:rsidR="000E1B32" w:rsidRPr="00510971" w:rsidRDefault="000E1B32" w:rsidP="000E1B32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510971">
        <w:rPr>
          <w:rFonts w:ascii="Calibri" w:eastAsia="Times New Roman" w:hAnsi="Calibri" w:cs="Times New Roman"/>
          <w:lang w:val="en-US"/>
        </w:rPr>
        <w:t>+7 (727) 2704 585</w:t>
      </w:r>
    </w:p>
    <w:p w:rsidR="000E1B32" w:rsidRPr="00510971" w:rsidRDefault="000E1B32" w:rsidP="000E1B32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proofErr w:type="gramStart"/>
      <w:r w:rsidRPr="00510971">
        <w:rPr>
          <w:rFonts w:ascii="Calibri" w:eastAsia="Times New Roman" w:hAnsi="Calibri" w:cs="Times New Roman"/>
          <w:lang w:val="en-US"/>
        </w:rPr>
        <w:t>e-mail</w:t>
      </w:r>
      <w:proofErr w:type="gramEnd"/>
      <w:r w:rsidRPr="00510971">
        <w:rPr>
          <w:rFonts w:ascii="Calibri" w:eastAsia="Times New Roman" w:hAnsi="Calibri" w:cs="Times New Roman"/>
          <w:lang w:val="en-US"/>
        </w:rPr>
        <w:t>: press@nationalbank.kz</w:t>
      </w:r>
    </w:p>
    <w:p w:rsidR="000E1B32" w:rsidRPr="006A1781" w:rsidRDefault="000E1B32" w:rsidP="000E1B32">
      <w:pPr>
        <w:spacing w:after="0" w:line="240" w:lineRule="auto"/>
        <w:jc w:val="center"/>
        <w:rPr>
          <w:lang w:val="en-US"/>
        </w:rPr>
      </w:pPr>
      <w:r w:rsidRPr="00510971">
        <w:rPr>
          <w:rFonts w:ascii="Calibri" w:eastAsia="Times New Roman" w:hAnsi="Calibri" w:cs="Times New Roman"/>
          <w:lang w:val="en-US"/>
        </w:rPr>
        <w:t>www.nationalbank.kz</w:t>
      </w:r>
    </w:p>
    <w:p w:rsidR="000E1B32" w:rsidRPr="006A1781" w:rsidRDefault="000E1B32" w:rsidP="000E1B32">
      <w:pPr>
        <w:rPr>
          <w:lang w:val="en-US"/>
        </w:rPr>
      </w:pPr>
    </w:p>
    <w:sectPr w:rsidR="000E1B32" w:rsidRPr="006A1781" w:rsidSect="006C13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18" w:rsidRDefault="00C20618" w:rsidP="00557F40">
      <w:pPr>
        <w:spacing w:after="0" w:line="240" w:lineRule="auto"/>
      </w:pPr>
      <w:r>
        <w:separator/>
      </w:r>
    </w:p>
  </w:endnote>
  <w:endnote w:type="continuationSeparator" w:id="0">
    <w:p w:rsidR="00C20618" w:rsidRDefault="00C20618" w:rsidP="0055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18" w:rsidRDefault="00C20618" w:rsidP="00557F40">
      <w:pPr>
        <w:spacing w:after="0" w:line="240" w:lineRule="auto"/>
      </w:pPr>
      <w:r>
        <w:separator/>
      </w:r>
    </w:p>
  </w:footnote>
  <w:footnote w:type="continuationSeparator" w:id="0">
    <w:p w:rsidR="00C20618" w:rsidRDefault="00C20618" w:rsidP="00557F40">
      <w:pPr>
        <w:spacing w:after="0" w:line="240" w:lineRule="auto"/>
      </w:pPr>
      <w:r>
        <w:continuationSeparator/>
      </w:r>
    </w:p>
  </w:footnote>
  <w:footnote w:id="1">
    <w:p w:rsidR="00557F40" w:rsidRPr="00166D7A" w:rsidRDefault="00557F40" w:rsidP="00557F40">
      <w:pPr>
        <w:pStyle w:val="ab"/>
        <w:jc w:val="both"/>
        <w:rPr>
          <w:rFonts w:ascii="Calibri" w:hAnsi="Calibri"/>
        </w:rPr>
      </w:pPr>
      <w:r w:rsidRPr="00166D7A">
        <w:rPr>
          <w:rStyle w:val="ad"/>
          <w:rFonts w:ascii="Calibri" w:hAnsi="Calibri"/>
        </w:rPr>
        <w:footnoteRef/>
      </w:r>
      <w:r w:rsidRPr="00166D7A">
        <w:rPr>
          <w:rFonts w:ascii="Calibri" w:hAnsi="Calibri"/>
        </w:rPr>
        <w:t xml:space="preserve"> Прогноз макроэкономических показателей подготовлен на основе статистической информации по состоянию на 2 февраля 2017 года.</w:t>
      </w:r>
    </w:p>
  </w:footnote>
  <w:footnote w:id="2">
    <w:p w:rsidR="00557F40" w:rsidRPr="00166D7A" w:rsidRDefault="00557F40" w:rsidP="00557F40">
      <w:pPr>
        <w:pStyle w:val="ab"/>
        <w:jc w:val="both"/>
        <w:rPr>
          <w:rFonts w:ascii="Calibri" w:hAnsi="Calibri"/>
        </w:rPr>
      </w:pPr>
      <w:r w:rsidRPr="00166D7A">
        <w:rPr>
          <w:rStyle w:val="ad"/>
          <w:rFonts w:ascii="Calibri" w:hAnsi="Calibri"/>
        </w:rPr>
        <w:footnoteRef/>
      </w:r>
      <w:r w:rsidRPr="00166D7A">
        <w:rPr>
          <w:rFonts w:ascii="Calibri" w:hAnsi="Calibri"/>
        </w:rPr>
        <w:t xml:space="preserve"> Средняя цена на нефть марки </w:t>
      </w:r>
      <w:proofErr w:type="spellStart"/>
      <w:r w:rsidRPr="00166D7A">
        <w:rPr>
          <w:rFonts w:ascii="Calibri" w:hAnsi="Calibri"/>
        </w:rPr>
        <w:t>Brent</w:t>
      </w:r>
      <w:proofErr w:type="spellEnd"/>
      <w:r w:rsidRPr="00166D7A">
        <w:rPr>
          <w:rFonts w:ascii="Calibri" w:hAnsi="Calibri"/>
        </w:rPr>
        <w:t xml:space="preserve"> согласно опросу и прогнозам крупнейших инвестиционных банков и международных институтов (</w:t>
      </w:r>
      <w:proofErr w:type="spellStart"/>
      <w:r w:rsidRPr="00166D7A">
        <w:rPr>
          <w:rFonts w:ascii="Calibri" w:hAnsi="Calibri"/>
        </w:rPr>
        <w:t>Thompson</w:t>
      </w:r>
      <w:proofErr w:type="spellEnd"/>
      <w:r w:rsidRPr="00166D7A">
        <w:rPr>
          <w:rFonts w:ascii="Calibri" w:hAnsi="Calibri"/>
        </w:rPr>
        <w:t xml:space="preserve"> </w:t>
      </w:r>
      <w:proofErr w:type="spellStart"/>
      <w:r w:rsidRPr="00166D7A">
        <w:rPr>
          <w:rFonts w:ascii="Calibri" w:hAnsi="Calibri"/>
        </w:rPr>
        <w:t>Reuters</w:t>
      </w:r>
      <w:proofErr w:type="spellEnd"/>
      <w:r w:rsidRPr="00166D7A">
        <w:rPr>
          <w:rFonts w:ascii="Calibri" w:hAnsi="Calibri"/>
        </w:rPr>
        <w:t xml:space="preserve">, </w:t>
      </w:r>
      <w:proofErr w:type="spellStart"/>
      <w:r w:rsidRPr="00166D7A">
        <w:rPr>
          <w:rFonts w:ascii="Calibri" w:hAnsi="Calibri"/>
        </w:rPr>
        <w:t>Bloomberg</w:t>
      </w:r>
      <w:proofErr w:type="spellEnd"/>
      <w:r w:rsidRPr="00166D7A">
        <w:rPr>
          <w:rFonts w:ascii="Calibri" w:hAnsi="Calibri"/>
        </w:rPr>
        <w:t>, Всемирный банк, МВФ) составит 54,5 долл. США за баррель в 2017 году.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5"/>
    <w:rsid w:val="00012F2C"/>
    <w:rsid w:val="000358E1"/>
    <w:rsid w:val="00041570"/>
    <w:rsid w:val="00041F51"/>
    <w:rsid w:val="00050C4E"/>
    <w:rsid w:val="00064391"/>
    <w:rsid w:val="00083825"/>
    <w:rsid w:val="000B650E"/>
    <w:rsid w:val="000C74FA"/>
    <w:rsid w:val="000D1545"/>
    <w:rsid w:val="000D32C4"/>
    <w:rsid w:val="000E1B32"/>
    <w:rsid w:val="001000E0"/>
    <w:rsid w:val="001054C2"/>
    <w:rsid w:val="00113230"/>
    <w:rsid w:val="001255B4"/>
    <w:rsid w:val="001329C7"/>
    <w:rsid w:val="0013616F"/>
    <w:rsid w:val="001378BB"/>
    <w:rsid w:val="0014623E"/>
    <w:rsid w:val="001705E2"/>
    <w:rsid w:val="001758F0"/>
    <w:rsid w:val="00177085"/>
    <w:rsid w:val="00197DE4"/>
    <w:rsid w:val="001A31C3"/>
    <w:rsid w:val="001B3056"/>
    <w:rsid w:val="001D7127"/>
    <w:rsid w:val="001F6943"/>
    <w:rsid w:val="001F7257"/>
    <w:rsid w:val="00211E24"/>
    <w:rsid w:val="002211AF"/>
    <w:rsid w:val="002249DA"/>
    <w:rsid w:val="0022556E"/>
    <w:rsid w:val="0023565B"/>
    <w:rsid w:val="00241015"/>
    <w:rsid w:val="00245F7A"/>
    <w:rsid w:val="00277046"/>
    <w:rsid w:val="002813C8"/>
    <w:rsid w:val="0028444C"/>
    <w:rsid w:val="00294F46"/>
    <w:rsid w:val="002978A3"/>
    <w:rsid w:val="002B47E0"/>
    <w:rsid w:val="002D0C91"/>
    <w:rsid w:val="002D1300"/>
    <w:rsid w:val="002D2611"/>
    <w:rsid w:val="002D3D7C"/>
    <w:rsid w:val="002F4882"/>
    <w:rsid w:val="002F718E"/>
    <w:rsid w:val="0030064C"/>
    <w:rsid w:val="00302454"/>
    <w:rsid w:val="00304762"/>
    <w:rsid w:val="0032251D"/>
    <w:rsid w:val="00322549"/>
    <w:rsid w:val="00333FEE"/>
    <w:rsid w:val="00335BE6"/>
    <w:rsid w:val="00343D88"/>
    <w:rsid w:val="003505F6"/>
    <w:rsid w:val="00363436"/>
    <w:rsid w:val="00371578"/>
    <w:rsid w:val="00372881"/>
    <w:rsid w:val="0037346E"/>
    <w:rsid w:val="00375903"/>
    <w:rsid w:val="0038034B"/>
    <w:rsid w:val="00382186"/>
    <w:rsid w:val="00396146"/>
    <w:rsid w:val="00396BF1"/>
    <w:rsid w:val="003A06BE"/>
    <w:rsid w:val="003A123A"/>
    <w:rsid w:val="003A60D4"/>
    <w:rsid w:val="003A7A8E"/>
    <w:rsid w:val="003C6C32"/>
    <w:rsid w:val="003D032D"/>
    <w:rsid w:val="003D07A1"/>
    <w:rsid w:val="003D0817"/>
    <w:rsid w:val="003D099D"/>
    <w:rsid w:val="003E31D1"/>
    <w:rsid w:val="003E5771"/>
    <w:rsid w:val="003F076C"/>
    <w:rsid w:val="003F4C8B"/>
    <w:rsid w:val="003F6E7F"/>
    <w:rsid w:val="00400B4C"/>
    <w:rsid w:val="00415106"/>
    <w:rsid w:val="004262EB"/>
    <w:rsid w:val="004365E6"/>
    <w:rsid w:val="004575CF"/>
    <w:rsid w:val="00467DE8"/>
    <w:rsid w:val="00475B93"/>
    <w:rsid w:val="00493EF2"/>
    <w:rsid w:val="00494152"/>
    <w:rsid w:val="004957F2"/>
    <w:rsid w:val="00495F87"/>
    <w:rsid w:val="00497334"/>
    <w:rsid w:val="004B47CA"/>
    <w:rsid w:val="004C100C"/>
    <w:rsid w:val="004C1F65"/>
    <w:rsid w:val="004C432F"/>
    <w:rsid w:val="004C6BEA"/>
    <w:rsid w:val="004E448F"/>
    <w:rsid w:val="004E5541"/>
    <w:rsid w:val="004F697F"/>
    <w:rsid w:val="00510971"/>
    <w:rsid w:val="0052016C"/>
    <w:rsid w:val="00521568"/>
    <w:rsid w:val="00530766"/>
    <w:rsid w:val="0053237B"/>
    <w:rsid w:val="00552107"/>
    <w:rsid w:val="0055534C"/>
    <w:rsid w:val="00555A06"/>
    <w:rsid w:val="00557F40"/>
    <w:rsid w:val="005662BB"/>
    <w:rsid w:val="005724C6"/>
    <w:rsid w:val="00575CE1"/>
    <w:rsid w:val="005907CB"/>
    <w:rsid w:val="00590E62"/>
    <w:rsid w:val="005B360B"/>
    <w:rsid w:val="005B662C"/>
    <w:rsid w:val="005D3ACE"/>
    <w:rsid w:val="00601586"/>
    <w:rsid w:val="00606766"/>
    <w:rsid w:val="00607F69"/>
    <w:rsid w:val="00615C51"/>
    <w:rsid w:val="006247CC"/>
    <w:rsid w:val="006320C0"/>
    <w:rsid w:val="00645DBC"/>
    <w:rsid w:val="0065565E"/>
    <w:rsid w:val="00674AC2"/>
    <w:rsid w:val="00691E23"/>
    <w:rsid w:val="00692A6A"/>
    <w:rsid w:val="00694F37"/>
    <w:rsid w:val="00695BFE"/>
    <w:rsid w:val="00696A64"/>
    <w:rsid w:val="006A21BA"/>
    <w:rsid w:val="006A7635"/>
    <w:rsid w:val="006A7F2E"/>
    <w:rsid w:val="006B3E82"/>
    <w:rsid w:val="006B4D4B"/>
    <w:rsid w:val="006B5D89"/>
    <w:rsid w:val="006B744B"/>
    <w:rsid w:val="006B77CA"/>
    <w:rsid w:val="006C114A"/>
    <w:rsid w:val="006C3987"/>
    <w:rsid w:val="006F1B2D"/>
    <w:rsid w:val="006F3187"/>
    <w:rsid w:val="0070065C"/>
    <w:rsid w:val="00702468"/>
    <w:rsid w:val="0070291F"/>
    <w:rsid w:val="00707B53"/>
    <w:rsid w:val="007126D4"/>
    <w:rsid w:val="0071691C"/>
    <w:rsid w:val="00725440"/>
    <w:rsid w:val="00753521"/>
    <w:rsid w:val="007767E6"/>
    <w:rsid w:val="00780282"/>
    <w:rsid w:val="00782F24"/>
    <w:rsid w:val="00784F4D"/>
    <w:rsid w:val="007C0E1A"/>
    <w:rsid w:val="007C6096"/>
    <w:rsid w:val="007F1F38"/>
    <w:rsid w:val="00800B74"/>
    <w:rsid w:val="00803FB5"/>
    <w:rsid w:val="00804180"/>
    <w:rsid w:val="008042D6"/>
    <w:rsid w:val="00807C2C"/>
    <w:rsid w:val="00810C80"/>
    <w:rsid w:val="00816BDB"/>
    <w:rsid w:val="0086098A"/>
    <w:rsid w:val="00860D64"/>
    <w:rsid w:val="008623AE"/>
    <w:rsid w:val="008644BD"/>
    <w:rsid w:val="008752DA"/>
    <w:rsid w:val="00876794"/>
    <w:rsid w:val="0089182F"/>
    <w:rsid w:val="00894760"/>
    <w:rsid w:val="008A177B"/>
    <w:rsid w:val="008A1DB7"/>
    <w:rsid w:val="008D1C8F"/>
    <w:rsid w:val="008E6EF1"/>
    <w:rsid w:val="008F1393"/>
    <w:rsid w:val="008F4993"/>
    <w:rsid w:val="008F7C00"/>
    <w:rsid w:val="00903C11"/>
    <w:rsid w:val="0090533F"/>
    <w:rsid w:val="00932FE4"/>
    <w:rsid w:val="00942F13"/>
    <w:rsid w:val="00955266"/>
    <w:rsid w:val="00955493"/>
    <w:rsid w:val="009670EE"/>
    <w:rsid w:val="00977FD2"/>
    <w:rsid w:val="009A1C7C"/>
    <w:rsid w:val="009B666D"/>
    <w:rsid w:val="009B70CD"/>
    <w:rsid w:val="009C4BF5"/>
    <w:rsid w:val="009E0889"/>
    <w:rsid w:val="009E3534"/>
    <w:rsid w:val="009F0038"/>
    <w:rsid w:val="00A052A0"/>
    <w:rsid w:val="00A373C6"/>
    <w:rsid w:val="00A6468C"/>
    <w:rsid w:val="00A70089"/>
    <w:rsid w:val="00A72001"/>
    <w:rsid w:val="00A7769B"/>
    <w:rsid w:val="00A853D8"/>
    <w:rsid w:val="00A90F83"/>
    <w:rsid w:val="00A93BA8"/>
    <w:rsid w:val="00AA0FCC"/>
    <w:rsid w:val="00AA4318"/>
    <w:rsid w:val="00AB25A2"/>
    <w:rsid w:val="00AB6885"/>
    <w:rsid w:val="00AC0A7B"/>
    <w:rsid w:val="00AC480B"/>
    <w:rsid w:val="00AD46B2"/>
    <w:rsid w:val="00AD7D95"/>
    <w:rsid w:val="00B2448E"/>
    <w:rsid w:val="00B244DF"/>
    <w:rsid w:val="00B34CE3"/>
    <w:rsid w:val="00B375FE"/>
    <w:rsid w:val="00B45383"/>
    <w:rsid w:val="00B6180B"/>
    <w:rsid w:val="00B8288D"/>
    <w:rsid w:val="00B841B2"/>
    <w:rsid w:val="00B90064"/>
    <w:rsid w:val="00BD32C4"/>
    <w:rsid w:val="00BD3C91"/>
    <w:rsid w:val="00BE7EF4"/>
    <w:rsid w:val="00BF47B2"/>
    <w:rsid w:val="00C162D7"/>
    <w:rsid w:val="00C20618"/>
    <w:rsid w:val="00C24A5D"/>
    <w:rsid w:val="00C27B38"/>
    <w:rsid w:val="00C3097B"/>
    <w:rsid w:val="00C64F53"/>
    <w:rsid w:val="00C667B7"/>
    <w:rsid w:val="00C67616"/>
    <w:rsid w:val="00C822AC"/>
    <w:rsid w:val="00C85411"/>
    <w:rsid w:val="00CC57A4"/>
    <w:rsid w:val="00CD68C4"/>
    <w:rsid w:val="00CE2098"/>
    <w:rsid w:val="00CE3E03"/>
    <w:rsid w:val="00CE4BE1"/>
    <w:rsid w:val="00D44D4A"/>
    <w:rsid w:val="00D46C9A"/>
    <w:rsid w:val="00D47B79"/>
    <w:rsid w:val="00D61AC4"/>
    <w:rsid w:val="00D7574F"/>
    <w:rsid w:val="00D96EC1"/>
    <w:rsid w:val="00DB02C4"/>
    <w:rsid w:val="00DC11AE"/>
    <w:rsid w:val="00DC294D"/>
    <w:rsid w:val="00DC2E14"/>
    <w:rsid w:val="00DE2A11"/>
    <w:rsid w:val="00E10893"/>
    <w:rsid w:val="00E12782"/>
    <w:rsid w:val="00E31398"/>
    <w:rsid w:val="00E33B18"/>
    <w:rsid w:val="00E452B3"/>
    <w:rsid w:val="00E530AA"/>
    <w:rsid w:val="00E676F2"/>
    <w:rsid w:val="00E67D1C"/>
    <w:rsid w:val="00E75137"/>
    <w:rsid w:val="00E76257"/>
    <w:rsid w:val="00E77245"/>
    <w:rsid w:val="00E861EE"/>
    <w:rsid w:val="00E91D90"/>
    <w:rsid w:val="00EA0A47"/>
    <w:rsid w:val="00EB75C5"/>
    <w:rsid w:val="00EC6154"/>
    <w:rsid w:val="00ED232D"/>
    <w:rsid w:val="00EE0D12"/>
    <w:rsid w:val="00EE152D"/>
    <w:rsid w:val="00EF58A4"/>
    <w:rsid w:val="00EF6AB5"/>
    <w:rsid w:val="00F13A20"/>
    <w:rsid w:val="00F310B4"/>
    <w:rsid w:val="00F40623"/>
    <w:rsid w:val="00F40B0A"/>
    <w:rsid w:val="00F515D2"/>
    <w:rsid w:val="00F51A55"/>
    <w:rsid w:val="00F54662"/>
    <w:rsid w:val="00F55044"/>
    <w:rsid w:val="00F70CB2"/>
    <w:rsid w:val="00F72DD1"/>
    <w:rsid w:val="00F731F4"/>
    <w:rsid w:val="00F82F19"/>
    <w:rsid w:val="00F9092B"/>
    <w:rsid w:val="00F9426E"/>
    <w:rsid w:val="00FA7803"/>
    <w:rsid w:val="00FB29E1"/>
    <w:rsid w:val="00FB41F0"/>
    <w:rsid w:val="00FC58D9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225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25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25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25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251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2251D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57F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7F40"/>
    <w:rPr>
      <w:sz w:val="20"/>
      <w:szCs w:val="20"/>
    </w:rPr>
  </w:style>
  <w:style w:type="character" w:styleId="ad">
    <w:name w:val="footnote reference"/>
    <w:aliases w:val="Footnote Reference Number,Footnote Reference_LVL6,Footnote Reference_LVL61,Footnote Reference_LVL62,Footnote Reference_LVL63,Footnote Reference_LVL64,fr"/>
    <w:uiPriority w:val="99"/>
    <w:rsid w:val="00557F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3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225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25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251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25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251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2251D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57F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7F40"/>
    <w:rPr>
      <w:sz w:val="20"/>
      <w:szCs w:val="20"/>
    </w:rPr>
  </w:style>
  <w:style w:type="character" w:styleId="ad">
    <w:name w:val="footnote reference"/>
    <w:aliases w:val="Footnote Reference Number,Footnote Reference_LVL6,Footnote Reference_LVL61,Footnote Reference_LVL62,Footnote Reference_LVL63,Footnote Reference_LVL64,fr"/>
    <w:uiPriority w:val="99"/>
    <w:rsid w:val="00557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 Alibekova</dc:creator>
  <cp:lastModifiedBy>Saule Yntykbaeva</cp:lastModifiedBy>
  <cp:revision>5</cp:revision>
  <dcterms:created xsi:type="dcterms:W3CDTF">2017-02-20T08:37:00Z</dcterms:created>
  <dcterms:modified xsi:type="dcterms:W3CDTF">2017-02-22T06:01:00Z</dcterms:modified>
</cp:coreProperties>
</file>