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4EE" w:rsidRPr="0087659B" w:rsidRDefault="008774EE" w:rsidP="008774EE">
      <w:pPr>
        <w:autoSpaceDE w:val="0"/>
        <w:autoSpaceDN w:val="0"/>
        <w:adjustRightInd w:val="0"/>
        <w:spacing w:after="0" w:line="240" w:lineRule="auto"/>
        <w:ind w:firstLine="450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53C5A41C" wp14:editId="60359598">
            <wp:simplePos x="0" y="0"/>
            <wp:positionH relativeFrom="column">
              <wp:posOffset>-232410</wp:posOffset>
            </wp:positionH>
            <wp:positionV relativeFrom="paragraph">
              <wp:posOffset>-453390</wp:posOffset>
            </wp:positionV>
            <wp:extent cx="1932980" cy="192405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298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7659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НАЦИОНАЛЬНЫЙ БАНК</w:t>
      </w:r>
    </w:p>
    <w:p w:rsidR="008774EE" w:rsidRPr="00342A60" w:rsidRDefault="008774EE" w:rsidP="008774EE">
      <w:pPr>
        <w:autoSpaceDE w:val="0"/>
        <w:autoSpaceDN w:val="0"/>
        <w:adjustRightInd w:val="0"/>
        <w:spacing w:after="0" w:line="240" w:lineRule="auto"/>
        <w:ind w:firstLine="450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42A6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РЕСПУБЛИКИ КАЗАХСТАН</w:t>
      </w:r>
    </w:p>
    <w:p w:rsidR="008774EE" w:rsidRPr="004273AC" w:rsidRDefault="008774EE" w:rsidP="008774EE">
      <w:pPr>
        <w:autoSpaceDE w:val="0"/>
        <w:autoSpaceDN w:val="0"/>
        <w:adjustRightInd w:val="0"/>
        <w:spacing w:after="0" w:line="240" w:lineRule="auto"/>
        <w:ind w:firstLine="450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42A6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 Р Е С </w:t>
      </w:r>
      <w:proofErr w:type="spellStart"/>
      <w:r w:rsidRPr="00342A6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</w:t>
      </w:r>
      <w:proofErr w:type="spellEnd"/>
      <w:r w:rsidRPr="00342A60">
        <w:rPr>
          <w:rFonts w:ascii="Times New Roman" w:eastAsia="Times New Roman" w:hAnsi="Times New Roman"/>
          <w:b/>
          <w:bCs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- Р Е Л И З №</w:t>
      </w:r>
      <w:r w:rsidR="004273AC" w:rsidRPr="004273A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29</w:t>
      </w:r>
    </w:p>
    <w:p w:rsidR="008774EE" w:rsidRPr="00342A60" w:rsidRDefault="00005FB3" w:rsidP="008774EE">
      <w:pPr>
        <w:autoSpaceDE w:val="0"/>
        <w:autoSpaceDN w:val="0"/>
        <w:adjustRightInd w:val="0"/>
        <w:spacing w:after="0" w:line="240" w:lineRule="auto"/>
        <w:ind w:firstLine="450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 xml:space="preserve">9 </w:t>
      </w:r>
      <w:r w:rsidR="008774E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августа</w:t>
      </w:r>
      <w:r w:rsidR="008774EE" w:rsidRPr="00342A6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2013 года</w:t>
      </w:r>
    </w:p>
    <w:p w:rsidR="008774EE" w:rsidRPr="0087659B" w:rsidRDefault="008774EE" w:rsidP="008774EE">
      <w:pPr>
        <w:autoSpaceDE w:val="0"/>
        <w:autoSpaceDN w:val="0"/>
        <w:adjustRightInd w:val="0"/>
        <w:spacing w:after="0" w:line="240" w:lineRule="auto"/>
        <w:ind w:left="4500"/>
        <w:jc w:val="right"/>
        <w:rPr>
          <w:rFonts w:ascii="Times New Roman" w:eastAsia="Times New Roman" w:hAnsi="Times New Roman"/>
          <w:b/>
          <w:bCs/>
          <w:snapToGrid w:val="0"/>
          <w:sz w:val="24"/>
          <w:szCs w:val="24"/>
          <w:lang w:eastAsia="ru-RU"/>
        </w:rPr>
      </w:pPr>
    </w:p>
    <w:p w:rsidR="008774EE" w:rsidRPr="0087659B" w:rsidRDefault="008774EE" w:rsidP="008774EE">
      <w:pPr>
        <w:autoSpaceDE w:val="0"/>
        <w:autoSpaceDN w:val="0"/>
        <w:adjustRightInd w:val="0"/>
        <w:spacing w:after="0" w:line="240" w:lineRule="auto"/>
        <w:ind w:left="4500"/>
        <w:jc w:val="center"/>
        <w:rPr>
          <w:rFonts w:ascii="Times New Roman" w:eastAsia="Times New Roman" w:hAnsi="Times New Roman"/>
          <w:b/>
          <w:bCs/>
          <w:snapToGrid w:val="0"/>
          <w:sz w:val="24"/>
          <w:szCs w:val="24"/>
          <w:lang w:eastAsia="ru-RU"/>
        </w:rPr>
      </w:pPr>
      <w:r w:rsidRPr="0087659B">
        <w:rPr>
          <w:rFonts w:ascii="Times New Roman" w:eastAsia="Times New Roman" w:hAnsi="Times New Roman"/>
          <w:b/>
          <w:bCs/>
          <w:snapToGrid w:val="0"/>
          <w:sz w:val="24"/>
          <w:szCs w:val="24"/>
          <w:lang w:eastAsia="ru-RU"/>
        </w:rPr>
        <w:t>О ситуации на финансовом рынке</w:t>
      </w:r>
    </w:p>
    <w:p w:rsidR="008774EE" w:rsidRDefault="008774EE" w:rsidP="008774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</w:p>
    <w:p w:rsidR="007300F1" w:rsidRDefault="007300F1" w:rsidP="008774E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napToGrid w:val="0"/>
          <w:sz w:val="24"/>
          <w:szCs w:val="24"/>
          <w:lang w:eastAsia="ru-RU"/>
        </w:rPr>
      </w:pPr>
    </w:p>
    <w:p w:rsidR="00586B76" w:rsidRDefault="00586B76" w:rsidP="00BC02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</w:p>
    <w:p w:rsidR="00BC0245" w:rsidRPr="00991529" w:rsidRDefault="00BC0245" w:rsidP="00964500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  <w:r w:rsidRPr="00964500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 xml:space="preserve">Инфляция </w:t>
      </w:r>
    </w:p>
    <w:p w:rsidR="006F3072" w:rsidRPr="006F3072" w:rsidRDefault="006F3072" w:rsidP="006F307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3072">
        <w:rPr>
          <w:rFonts w:ascii="Times New Roman" w:hAnsi="Times New Roman"/>
          <w:sz w:val="24"/>
          <w:szCs w:val="24"/>
        </w:rPr>
        <w:t>По официальным данным Агентства Республики Казахстан по статистике, в июле 2013 года инфляция сложилась на уровне 0,2% (в июле 2012 года – 0,3%). Цены на продовольственные товары выросли на 0,1% (рост на 0,1%), на непродовольственные товары – на 0,1% (снижение на 0,1%). Тарифы на платные услуги повысились на 0,3% (на 0,9%).</w:t>
      </w:r>
    </w:p>
    <w:p w:rsidR="006F3072" w:rsidRPr="006F3072" w:rsidRDefault="006F3072" w:rsidP="006F307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6F3072">
        <w:rPr>
          <w:rFonts w:ascii="Times New Roman" w:hAnsi="Times New Roman"/>
          <w:sz w:val="24"/>
          <w:szCs w:val="24"/>
        </w:rPr>
        <w:t>На рынке продовольственных товаров в июле 2013 года в наибольшей степени подорожали рис на 1,6%, сахар – на 0,7%, кондитерские изделия – на 0,3%, рыба и морепродукты – на 0,2%. Кроме того, выросли цены на табачные изделия на 5,1%. Снижение цен было зафиксировано на яйца на 3,7%, крупы – на 0,6%, фрукты и овощи – на 0,5%, масла и жиры – на 0,1%.</w:t>
      </w:r>
      <w:proofErr w:type="gramEnd"/>
    </w:p>
    <w:p w:rsidR="006F3072" w:rsidRPr="006F3072" w:rsidRDefault="006F3072" w:rsidP="006F307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3072">
        <w:rPr>
          <w:rFonts w:ascii="Times New Roman" w:hAnsi="Times New Roman"/>
          <w:sz w:val="24"/>
          <w:szCs w:val="24"/>
        </w:rPr>
        <w:t xml:space="preserve">В группе непродовольственных товаров цены на верхнюю одежду повысились на 0,1%, обувь – на 0,2%, предметы домашнего обихода – на 0,2%, медикаменты – на 0,2%. Стоимость бензина снизилась на 0,1%, дизельного топлива поднялась </w:t>
      </w:r>
      <w:proofErr w:type="gramStart"/>
      <w:r w:rsidRPr="006F3072">
        <w:rPr>
          <w:rFonts w:ascii="Times New Roman" w:hAnsi="Times New Roman"/>
          <w:sz w:val="24"/>
          <w:szCs w:val="24"/>
        </w:rPr>
        <w:t>на</w:t>
      </w:r>
      <w:proofErr w:type="gramEnd"/>
      <w:r w:rsidRPr="006F3072">
        <w:rPr>
          <w:rFonts w:ascii="Times New Roman" w:hAnsi="Times New Roman"/>
          <w:sz w:val="24"/>
          <w:szCs w:val="24"/>
        </w:rPr>
        <w:t xml:space="preserve"> 0,1%.</w:t>
      </w:r>
    </w:p>
    <w:p w:rsidR="006F3072" w:rsidRPr="006F3072" w:rsidRDefault="006F3072" w:rsidP="006F307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6F3072">
        <w:rPr>
          <w:rFonts w:ascii="Times New Roman" w:hAnsi="Times New Roman"/>
          <w:sz w:val="24"/>
          <w:szCs w:val="24"/>
        </w:rPr>
        <w:t>В структуре платных услуг оплата за услуги жилищно-коммунальной сферы выросла на 0,2%. При этом тарифы за холодную воду, канализацию и аренду жилья выросли по 1,1%. Тарифы за сбор мусора снизились на 0,3%. Кроме того, за прошедший месяц цены за медицинские услуги повысились на 0,4%, услуги транспорта – на 0,9%, в том числе услуги железнодорожного транспорта – на 2,1%, воздушного транспорта – на 0,8</w:t>
      </w:r>
      <w:proofErr w:type="gramEnd"/>
      <w:r w:rsidRPr="006F3072">
        <w:rPr>
          <w:rFonts w:ascii="Times New Roman" w:hAnsi="Times New Roman"/>
          <w:sz w:val="24"/>
          <w:szCs w:val="24"/>
        </w:rPr>
        <w:t>%, услуги ресторанов и гостиниц – на 0,3%, ремонт обуви – на 0,2%.</w:t>
      </w:r>
    </w:p>
    <w:p w:rsidR="006F3072" w:rsidRPr="006F3072" w:rsidRDefault="006F3072" w:rsidP="006F307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3072">
        <w:rPr>
          <w:rFonts w:ascii="Times New Roman" w:hAnsi="Times New Roman"/>
          <w:sz w:val="24"/>
          <w:szCs w:val="24"/>
        </w:rPr>
        <w:t xml:space="preserve">За январь-июль 2013 года инфляция составила 2,8% (в январе-июле 2012 года – 3,0%). Продовольственные товары с начала 2013 года стали дороже на 1,8% (на 2,6%), непродовольственные товары – на 1,3% (на 1,7%), платные услуги – на 5,7% (на 4,8%) </w:t>
      </w:r>
      <w:r w:rsidRPr="006F3072">
        <w:rPr>
          <w:rFonts w:ascii="Times New Roman" w:hAnsi="Times New Roman"/>
          <w:snapToGrid w:val="0"/>
          <w:sz w:val="24"/>
          <w:szCs w:val="24"/>
          <w:lang w:val="kk-KZ"/>
        </w:rPr>
        <w:t>(График 1)</w:t>
      </w:r>
      <w:r w:rsidRPr="006F3072">
        <w:rPr>
          <w:rFonts w:ascii="Times New Roman" w:hAnsi="Times New Roman"/>
          <w:snapToGrid w:val="0"/>
          <w:sz w:val="24"/>
          <w:szCs w:val="24"/>
        </w:rPr>
        <w:t>.</w:t>
      </w:r>
    </w:p>
    <w:p w:rsidR="006F3072" w:rsidRPr="006F3072" w:rsidRDefault="006F3072" w:rsidP="006F3072">
      <w:pPr>
        <w:spacing w:after="0" w:line="240" w:lineRule="auto"/>
        <w:ind w:firstLine="708"/>
        <w:jc w:val="right"/>
        <w:rPr>
          <w:rFonts w:ascii="Times New Roman" w:hAnsi="Times New Roman"/>
          <w:snapToGrid w:val="0"/>
          <w:sz w:val="24"/>
          <w:szCs w:val="24"/>
        </w:rPr>
      </w:pPr>
      <w:r w:rsidRPr="006F3072">
        <w:rPr>
          <w:rFonts w:ascii="Times New Roman" w:hAnsi="Times New Roman"/>
          <w:snapToGrid w:val="0"/>
          <w:sz w:val="24"/>
          <w:szCs w:val="24"/>
        </w:rPr>
        <w:t>График 1</w:t>
      </w:r>
    </w:p>
    <w:p w:rsidR="006F3072" w:rsidRPr="006F3072" w:rsidRDefault="006F3072" w:rsidP="006F3072">
      <w:pPr>
        <w:spacing w:after="0" w:line="240" w:lineRule="auto"/>
        <w:ind w:firstLine="708"/>
        <w:jc w:val="center"/>
        <w:rPr>
          <w:rFonts w:ascii="Times New Roman" w:hAnsi="Times New Roman"/>
          <w:b/>
          <w:snapToGrid w:val="0"/>
          <w:sz w:val="24"/>
          <w:szCs w:val="24"/>
        </w:rPr>
      </w:pPr>
      <w:r w:rsidRPr="006F3072">
        <w:rPr>
          <w:rFonts w:ascii="Times New Roman" w:hAnsi="Times New Roman"/>
          <w:b/>
          <w:snapToGrid w:val="0"/>
          <w:sz w:val="24"/>
          <w:szCs w:val="24"/>
        </w:rPr>
        <w:t>Инфляция и ее составляющие за январь-июль 2012 и 2013 гг.</w:t>
      </w:r>
    </w:p>
    <w:p w:rsidR="006F3072" w:rsidRPr="006F3072" w:rsidRDefault="006F3072" w:rsidP="006F3072">
      <w:pPr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  <w:lang w:val="kk-KZ"/>
        </w:rPr>
      </w:pPr>
      <w:r w:rsidRPr="006F3072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7D6D7640" wp14:editId="6B5E7467">
            <wp:extent cx="5940425" cy="1913255"/>
            <wp:effectExtent l="0" t="0" r="3175" b="0"/>
            <wp:docPr id="1" name="Объект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6F3072" w:rsidRPr="006F3072" w:rsidRDefault="006F3072" w:rsidP="006F307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F3072" w:rsidRPr="006F3072" w:rsidRDefault="006F3072" w:rsidP="006F307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F3072">
        <w:rPr>
          <w:rFonts w:ascii="Times New Roman" w:hAnsi="Times New Roman"/>
          <w:sz w:val="24"/>
          <w:szCs w:val="24"/>
        </w:rPr>
        <w:t>В июле 2013 года инфляция в годовом выражении составила 5,9% (в декабре 2012 года – 6,0%). Продовольственные товары за последние 12 месяцев стали дороже на 4,5% (на 5,3%), непродовольственные товары – на 3,1% (на 3,5%), платные услуги – на 10,3% (</w:t>
      </w:r>
      <w:proofErr w:type="gramStart"/>
      <w:r w:rsidRPr="006F3072">
        <w:rPr>
          <w:rFonts w:ascii="Times New Roman" w:hAnsi="Times New Roman"/>
          <w:sz w:val="24"/>
          <w:szCs w:val="24"/>
        </w:rPr>
        <w:t>на</w:t>
      </w:r>
      <w:proofErr w:type="gramEnd"/>
      <w:r w:rsidRPr="006F3072">
        <w:rPr>
          <w:rFonts w:ascii="Times New Roman" w:hAnsi="Times New Roman"/>
          <w:sz w:val="24"/>
          <w:szCs w:val="24"/>
        </w:rPr>
        <w:t xml:space="preserve"> 9,3%).</w:t>
      </w:r>
    </w:p>
    <w:p w:rsidR="006F3072" w:rsidRDefault="006F3072" w:rsidP="00470B90">
      <w:pPr>
        <w:spacing w:after="0" w:line="240" w:lineRule="auto"/>
        <w:ind w:firstLine="708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</w:p>
    <w:p w:rsidR="007300F1" w:rsidRPr="007300F1" w:rsidRDefault="007300F1" w:rsidP="007300F1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  <w:r w:rsidRPr="007300F1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lastRenderedPageBreak/>
        <w:t>Платежный баланс Республики Казахстан за 1 полугодие 2013 года</w:t>
      </w:r>
    </w:p>
    <w:p w:rsidR="007300F1" w:rsidRPr="007300F1" w:rsidRDefault="007300F1" w:rsidP="007300F1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  <w:r w:rsidRPr="007300F1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(предварительные результаты)</w:t>
      </w:r>
    </w:p>
    <w:p w:rsidR="007300F1" w:rsidRPr="007300F1" w:rsidRDefault="007300F1" w:rsidP="007300F1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</w:p>
    <w:p w:rsidR="007300F1" w:rsidRPr="007300F1" w:rsidRDefault="007300F1" w:rsidP="008774EE">
      <w:pPr>
        <w:spacing w:after="0" w:line="240" w:lineRule="auto"/>
        <w:ind w:firstLine="708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7300F1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По предварительной оценке платежного баланса</w:t>
      </w:r>
      <w:r w:rsidR="00E21D75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,</w:t>
      </w:r>
      <w:r w:rsidRPr="007300F1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за 1 полугодие 2013 год</w:t>
      </w:r>
      <w:r w:rsidR="00E21D75">
        <w:rPr>
          <w:rFonts w:ascii="Times New Roman" w:eastAsia="Times New Roman" w:hAnsi="Times New Roman"/>
          <w:snapToGrid w:val="0"/>
          <w:sz w:val="24"/>
          <w:szCs w:val="24"/>
          <w:lang w:val="kk-KZ" w:eastAsia="ru-RU"/>
        </w:rPr>
        <w:t>а</w:t>
      </w:r>
      <w:r w:rsidRPr="007300F1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профицит счета текущих опе</w:t>
      </w:r>
      <w:r w:rsidR="008774EE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раций составил 2,2 млрд. долл. США</w:t>
      </w:r>
      <w:r w:rsidRPr="007300F1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, </w:t>
      </w:r>
      <w:r w:rsidRPr="001B1A0F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что </w:t>
      </w:r>
      <w:r w:rsidR="008A6EBC" w:rsidRPr="001B1A0F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ниже </w:t>
      </w:r>
      <w:r w:rsidRPr="001B1A0F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аналогичного показателя 1 полугодия 2012 года.</w:t>
      </w:r>
      <w:r w:rsidRPr="007300F1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 </w:t>
      </w:r>
    </w:p>
    <w:p w:rsidR="007300F1" w:rsidRPr="007300F1" w:rsidRDefault="007300F1" w:rsidP="007300F1">
      <w:pPr>
        <w:spacing w:after="0" w:line="240" w:lineRule="auto"/>
        <w:ind w:firstLine="708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proofErr w:type="gramStart"/>
      <w:r w:rsidRPr="007300F1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Профицит торгового баланса снизился на 30,1% до 18,1 млр</w:t>
      </w:r>
      <w:r w:rsidR="008774EE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д. долл. США (25,9 млрд. долл. США за 1 полугодие 2012 года</w:t>
      </w:r>
      <w:r w:rsidRPr="007300F1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), а нетто-отток ресурсов по операциям с первичными доходами (оплата труда, инвестиционные и прочие первичные доходы) оценивается в 12,0 млрд. долл. США против 14,9 млрд. долл. США </w:t>
      </w:r>
      <w:r w:rsidR="008774EE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в</w:t>
      </w:r>
      <w:r w:rsidRPr="007300F1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</w:t>
      </w:r>
      <w:r w:rsidR="008774EE" w:rsidRPr="008774EE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1 полугоди</w:t>
      </w:r>
      <w:r w:rsidR="008774EE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и</w:t>
      </w:r>
      <w:r w:rsidR="008774EE" w:rsidRPr="008774EE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2012 года</w:t>
      </w:r>
      <w:r w:rsidRPr="007300F1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.</w:t>
      </w:r>
      <w:proofErr w:type="gramEnd"/>
    </w:p>
    <w:p w:rsidR="007300F1" w:rsidRPr="007300F1" w:rsidRDefault="007300F1" w:rsidP="007300F1">
      <w:pPr>
        <w:spacing w:after="0" w:line="240" w:lineRule="auto"/>
        <w:ind w:firstLine="708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7300F1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По другим составляющим текущего счета отрицательные дисбалансы международных услуг и вторичных доходов (текущих трансферт) составили 3,3 млрд. долл. США и 0,6 млрд. долл. США</w:t>
      </w:r>
      <w:r w:rsidR="00E21D75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,</w:t>
      </w:r>
      <w:r w:rsidRPr="007300F1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соответственно.     </w:t>
      </w:r>
    </w:p>
    <w:p w:rsidR="007300F1" w:rsidRPr="007300F1" w:rsidRDefault="007300F1" w:rsidP="007300F1">
      <w:pPr>
        <w:spacing w:after="0" w:line="240" w:lineRule="auto"/>
        <w:ind w:firstLine="708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7300F1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По предварительной оценке</w:t>
      </w:r>
      <w:r w:rsidR="00E21D75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,</w:t>
      </w:r>
      <w:r w:rsidRPr="007300F1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сальдо </w:t>
      </w:r>
      <w:r w:rsidRPr="0056604D"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  <w:t>финансового счета</w:t>
      </w:r>
      <w:r w:rsidRPr="007300F1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(без учета резервных активов) сложилось положительным в размере 0,8 млрд. долл. США (отрицательное сальдо в 1,8 млрд. долл. США в </w:t>
      </w:r>
      <w:r w:rsidR="008774EE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1 полугодии 2012 года</w:t>
      </w:r>
      <w:r w:rsidRPr="007300F1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). </w:t>
      </w:r>
    </w:p>
    <w:p w:rsidR="007300F1" w:rsidRPr="007300F1" w:rsidRDefault="007300F1" w:rsidP="007300F1">
      <w:pPr>
        <w:spacing w:after="0" w:line="240" w:lineRule="auto"/>
        <w:ind w:firstLine="708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7300F1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По прямым иностранным инвестициям </w:t>
      </w:r>
      <w:r w:rsidRPr="007300F1"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  <w:t>чистое принятие обязательств по прямым инвестициям</w:t>
      </w:r>
      <w:r w:rsidRPr="007300F1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составило 5,7 млрд. долл. США, а </w:t>
      </w:r>
      <w:r w:rsidRPr="007300F1"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  <w:t xml:space="preserve">чистое приобретение финансовых активов </w:t>
      </w:r>
      <w:r w:rsidRPr="007300F1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составило 3,0 млрд. долл. США. В результате</w:t>
      </w:r>
      <w:r w:rsidR="00E21D75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,</w:t>
      </w:r>
      <w:r w:rsidRPr="007300F1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баланс по операциям </w:t>
      </w:r>
      <w:r w:rsidRPr="007300F1"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  <w:t>прямого инвестирования</w:t>
      </w:r>
      <w:r w:rsidRPr="007300F1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сложился отрицательным в 2,8 млрд. </w:t>
      </w:r>
      <w:r w:rsidR="008774EE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долл. США (7,1 млрд. долл. США за</w:t>
      </w:r>
      <w:r w:rsidRPr="007300F1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</w:t>
      </w:r>
      <w:r w:rsidR="008774EE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1 полугодие 2012 года</w:t>
      </w:r>
      <w:r w:rsidRPr="007300F1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).</w:t>
      </w:r>
    </w:p>
    <w:p w:rsidR="007300F1" w:rsidRPr="007300F1" w:rsidRDefault="007300F1" w:rsidP="007300F1">
      <w:pPr>
        <w:spacing w:after="0" w:line="240" w:lineRule="auto"/>
        <w:ind w:firstLine="708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7300F1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Положительное сальдо по </w:t>
      </w:r>
      <w:r w:rsidRPr="007300F1"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  <w:t>портфельным инвестициям</w:t>
      </w:r>
      <w:r w:rsidRPr="007300F1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составило 1,4 млрд. долл. США вследствие превышения прироста активов по портфельным инвестициям над приростом обязательств по ним. Чистое приобретение активов (увеличение активов) по портфельным инвестициям в 5,5 млрд. долл. США обеспечено приростом </w:t>
      </w:r>
      <w:r w:rsidRPr="007300F1"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  <w:t>иностранных активов</w:t>
      </w:r>
      <w:r w:rsidRPr="007300F1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Национального </w:t>
      </w:r>
      <w:r w:rsidR="00E21D75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ф</w:t>
      </w:r>
      <w:r w:rsidRPr="007300F1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онда РК на 5,1 млрд. долл. США</w:t>
      </w:r>
      <w:r w:rsidR="008A6EBC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.</w:t>
      </w:r>
      <w:r w:rsidRPr="007300F1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Чистое принятие обязательств (прирост обязательств) по портфельным инвестициям в 4,1 млрд. долл. США обусловлено новыми эмиссиями долговых ценных бумаг АО «НК «</w:t>
      </w:r>
      <w:proofErr w:type="spellStart"/>
      <w:r w:rsidRPr="007300F1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КазМунайГаз</w:t>
      </w:r>
      <w:proofErr w:type="spellEnd"/>
      <w:r w:rsidRPr="007300F1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» и АО «НУХ «</w:t>
      </w:r>
      <w:proofErr w:type="spellStart"/>
      <w:r w:rsidRPr="007300F1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КазАгро</w:t>
      </w:r>
      <w:proofErr w:type="spellEnd"/>
      <w:r w:rsidRPr="007300F1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» на общую сумму в размере 4,0 млрд. долл. США.</w:t>
      </w:r>
    </w:p>
    <w:p w:rsidR="007300F1" w:rsidRDefault="007300F1" w:rsidP="00470B90">
      <w:pPr>
        <w:spacing w:after="0" w:line="240" w:lineRule="auto"/>
        <w:ind w:firstLine="708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</w:p>
    <w:p w:rsidR="0087659B" w:rsidRDefault="0087659B" w:rsidP="009D77FD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9D77FD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Международные резервы и денежные агрегаты</w:t>
      </w:r>
      <w:r w:rsidRPr="009D77F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AD6B01" w:rsidRPr="00AD6B01" w:rsidRDefault="00AD6B01" w:rsidP="00AD6B01">
      <w:pPr>
        <w:spacing w:after="0" w:line="240" w:lineRule="auto"/>
        <w:ind w:firstLine="708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AD6B01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В июле 2013 года произошло снижение международных резервов Национального Банка. Валовые международные резервы Национального Банка уменьшились на 2,5% до 25,5 млрд. долл. США (с начала года – снижение на 9,9%). Чистые международные резервы Национального Банка уменьшились на 2,5% и составили 24,9 млрд. долл. США (с начала года – снижение на 10,1%). Продажа валюты на внутреннем валютном рынке, обслуживание внешнего долга Правительства, пополнение активов Национального фонда были частично нейтрализованы  поступлением валюты на счета Правительства в Национальном Банке и увеличением остатков на корреспондентских счетах банков в иностранной валюте в Национальном Банке. В результате чистые валютные запасы (СКВ) за июль 2013 года снизились на 6,0%, активы в золоте выросли на 11,6% вследствие роста его цены на мировых рынках. </w:t>
      </w:r>
    </w:p>
    <w:p w:rsidR="00AD6B01" w:rsidRPr="00AD6B01" w:rsidRDefault="00AD6B01" w:rsidP="00AD6B01">
      <w:pPr>
        <w:spacing w:after="0" w:line="240" w:lineRule="auto"/>
        <w:ind w:firstLine="708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AD6B01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За июль 2013 года международные резервы страны в целом, включая активы Национального фонда в иностранной валюте (по предварительным данным 64,3 млрд. долл. США), увеличились на 0,3% до 89,8 млрд. долл. США (с начала года – рост на 4,4%). </w:t>
      </w:r>
    </w:p>
    <w:p w:rsidR="00AD6B01" w:rsidRPr="00AD6B01" w:rsidRDefault="00AD6B01" w:rsidP="00AD6B01">
      <w:pPr>
        <w:spacing w:after="0" w:line="240" w:lineRule="auto"/>
        <w:ind w:firstLine="708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AD6B01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За июль 2013 года денежная база расширилась на 0,5% и составила 3109,2 млрд. тенге (с начала года – расширение на 7,6%). Узкая денежная база, т.е. денежная база без учета срочных депозитов банков второго уровня в Национальном Банке, расширилась на 0,3% до 3057,2 млрд. тенге.</w:t>
      </w:r>
    </w:p>
    <w:p w:rsidR="00AD6B01" w:rsidRPr="00AD6B01" w:rsidRDefault="00AD6B01" w:rsidP="00AD6B01">
      <w:pPr>
        <w:spacing w:after="0" w:line="240" w:lineRule="auto"/>
        <w:ind w:firstLine="708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proofErr w:type="gramStart"/>
      <w:r w:rsidRPr="00AD6B01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lastRenderedPageBreak/>
        <w:t>За июнь 2013 года денежная масса увеличилась на 2,3% до 11578,9 млрд. тенге (с начала года – рост на 10,0%), объем наличных денег в обращении вырос на 4,3% до 1523,5 млрд. тенге (с начала года – снижение на 0,3%), депозиты в банковской системе выросли на 2,0% до 10055,4 млрд. тенге (с начала года – рост на 11,8%).</w:t>
      </w:r>
      <w:proofErr w:type="gramEnd"/>
      <w:r w:rsidRPr="00AD6B01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Доля депозитов в структуре денежной массы увеличилась с 85,5% в декабре 2012 года до 86,8% в июне 2013 года вследствие роста объема депозитов на фоне сокращения наличных денег в обращении.</w:t>
      </w:r>
    </w:p>
    <w:p w:rsidR="00BC03B6" w:rsidRDefault="00AD6B01" w:rsidP="00AD6B01">
      <w:pPr>
        <w:spacing w:after="0" w:line="240" w:lineRule="auto"/>
        <w:ind w:firstLine="708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AD6B01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Денежный мультипликатор вырос с 3,64 в декабре 2012 года до 3,74 по итогам июня 2013 года вследствие опережающих темпов роста денежной массы по сравнению с темпами расширения денежной базы, зафиксированных в июне 2013 года.</w:t>
      </w:r>
    </w:p>
    <w:p w:rsidR="00AD6B01" w:rsidRPr="00CC0D8D" w:rsidRDefault="00AD6B01" w:rsidP="00AD6B01">
      <w:pPr>
        <w:spacing w:after="0" w:line="240" w:lineRule="auto"/>
        <w:ind w:firstLine="708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</w:p>
    <w:p w:rsidR="0087659B" w:rsidRPr="009D77FD" w:rsidRDefault="0087659B" w:rsidP="009D77FD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D77F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Валютный рынок </w:t>
      </w:r>
    </w:p>
    <w:p w:rsidR="00344272" w:rsidRPr="00344272" w:rsidRDefault="00344272" w:rsidP="00344272">
      <w:pPr>
        <w:spacing w:after="0" w:line="240" w:lineRule="auto"/>
        <w:ind w:firstLine="708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344272">
        <w:rPr>
          <w:rFonts w:ascii="Times New Roman" w:eastAsiaTheme="minorHAnsi" w:hAnsi="Times New Roman"/>
          <w:color w:val="000000"/>
          <w:sz w:val="24"/>
          <w:szCs w:val="24"/>
        </w:rPr>
        <w:t>В июле 2013 года курс тенге к доллару США изменялся в диапазоне 151,81–153,47 тенге за 1 доллар США. На конец месяца биржевой курс тенге составил 153,47 тенге за доллар США.</w:t>
      </w:r>
    </w:p>
    <w:p w:rsidR="00344272" w:rsidRPr="00344272" w:rsidRDefault="00344272" w:rsidP="00344272">
      <w:pPr>
        <w:spacing w:after="0" w:line="240" w:lineRule="auto"/>
        <w:ind w:firstLine="708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344272">
        <w:rPr>
          <w:rFonts w:ascii="Times New Roman" w:eastAsiaTheme="minorHAnsi" w:hAnsi="Times New Roman"/>
          <w:color w:val="000000"/>
          <w:sz w:val="24"/>
          <w:szCs w:val="24"/>
        </w:rPr>
        <w:t>В июле 2013 года объем биржевых операций на Казахстанской Фондовой Бирже с учетом сделок на дополнительных торгах вырос по сравнению с июнем 2013 года на 52,7% и составил 6,4 млрд. долл. США. На внебиржевом валютном рынке объем операций</w:t>
      </w:r>
      <w:r w:rsidR="008A6EBC">
        <w:rPr>
          <w:rFonts w:ascii="Times New Roman" w:eastAsiaTheme="minorHAnsi" w:hAnsi="Times New Roman"/>
          <w:color w:val="000000"/>
          <w:sz w:val="24"/>
          <w:szCs w:val="24"/>
        </w:rPr>
        <w:t xml:space="preserve"> снизился на 15,4% и составил 1,4</w:t>
      </w:r>
      <w:r w:rsidRPr="00344272">
        <w:rPr>
          <w:rFonts w:ascii="Times New Roman" w:eastAsiaTheme="minorHAnsi" w:hAnsi="Times New Roman"/>
          <w:color w:val="000000"/>
          <w:sz w:val="24"/>
          <w:szCs w:val="24"/>
        </w:rPr>
        <w:t xml:space="preserve"> млрд. долл. США.</w:t>
      </w:r>
    </w:p>
    <w:p w:rsidR="009C2BD0" w:rsidRDefault="00344272" w:rsidP="00344272">
      <w:pPr>
        <w:spacing w:after="0" w:line="240" w:lineRule="auto"/>
        <w:ind w:firstLine="708"/>
        <w:jc w:val="both"/>
        <w:rPr>
          <w:rFonts w:ascii="Times New Roman" w:eastAsiaTheme="minorHAnsi" w:hAnsi="Times New Roman"/>
          <w:color w:val="000000"/>
          <w:sz w:val="24"/>
          <w:szCs w:val="24"/>
          <w:lang w:val="en-US"/>
        </w:rPr>
      </w:pPr>
      <w:r w:rsidRPr="00344272">
        <w:rPr>
          <w:rFonts w:ascii="Times New Roman" w:eastAsiaTheme="minorHAnsi" w:hAnsi="Times New Roman"/>
          <w:color w:val="000000"/>
          <w:sz w:val="24"/>
          <w:szCs w:val="24"/>
        </w:rPr>
        <w:t>В целом, объем операций на внутреннем валютном рынке вырос на 32,9% и составил 7,8 млрд. долл. США.</w:t>
      </w:r>
    </w:p>
    <w:p w:rsidR="00344272" w:rsidRDefault="00344272" w:rsidP="0034427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</w:p>
    <w:p w:rsidR="00BC0245" w:rsidRPr="009D77FD" w:rsidRDefault="00BC0245" w:rsidP="009D77FD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kk-KZ" w:eastAsia="ru-RU"/>
        </w:rPr>
      </w:pPr>
      <w:r w:rsidRPr="009D77FD">
        <w:rPr>
          <w:rFonts w:ascii="Times New Roman" w:eastAsia="Times New Roman" w:hAnsi="Times New Roman"/>
          <w:b/>
          <w:sz w:val="24"/>
          <w:szCs w:val="24"/>
          <w:lang w:eastAsia="ru-RU"/>
        </w:rPr>
        <w:t>Рынок государственных ценных бумаг</w:t>
      </w:r>
    </w:p>
    <w:p w:rsidR="008B1B89" w:rsidRPr="008B1B89" w:rsidRDefault="008B1B89" w:rsidP="008B1B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1B89">
        <w:rPr>
          <w:rFonts w:ascii="Times New Roman" w:hAnsi="Times New Roman"/>
          <w:sz w:val="24"/>
          <w:szCs w:val="24"/>
        </w:rPr>
        <w:t>В июле 20</w:t>
      </w:r>
      <w:r w:rsidRPr="008B1B89">
        <w:rPr>
          <w:rFonts w:ascii="Times New Roman" w:hAnsi="Times New Roman"/>
          <w:sz w:val="24"/>
          <w:szCs w:val="24"/>
          <w:lang w:val="kk-KZ"/>
        </w:rPr>
        <w:t>13</w:t>
      </w:r>
      <w:r w:rsidRPr="008B1B89">
        <w:rPr>
          <w:rFonts w:ascii="Times New Roman" w:hAnsi="Times New Roman"/>
          <w:sz w:val="24"/>
          <w:szCs w:val="24"/>
        </w:rPr>
        <w:t xml:space="preserve"> года состоялось 5 аукционов по размещению государственных ценных бумаг Министерства финансов. На них были размещены 12-месячные МЕККАМ (14,2 млрд. тенге), 5-летние МЕОКАМ (12,0 млрд. тенге), 8-летние МЕУКАМ (15,2 млрд. тенге), 10-летние МЕУКАМ (17,1 млрд. тенге), 10-летние МЕУЖКАМ (15 млрд. тенге). </w:t>
      </w:r>
    </w:p>
    <w:p w:rsidR="008B1B89" w:rsidRPr="008B1B89" w:rsidRDefault="008B1B89" w:rsidP="008B1B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8B1B89">
        <w:rPr>
          <w:rFonts w:ascii="Times New Roman" w:hAnsi="Times New Roman"/>
          <w:sz w:val="24"/>
          <w:szCs w:val="24"/>
        </w:rPr>
        <w:t>Эффективная доходность по размещенным ценным бумагам составила: по 12 месячным МЕККАМ – 2,95%), по 5-летним МЕОКАМ – 3,84%, по 8-летним МЕУКАМ – 6,00</w:t>
      </w:r>
      <w:r w:rsidRPr="008B1B89">
        <w:rPr>
          <w:rFonts w:ascii="Times New Roman" w:hAnsi="Times New Roman"/>
          <w:snapToGrid w:val="0"/>
          <w:sz w:val="24"/>
          <w:szCs w:val="24"/>
        </w:rPr>
        <w:t xml:space="preserve">%, </w:t>
      </w:r>
      <w:r w:rsidRPr="008B1B89">
        <w:rPr>
          <w:rFonts w:ascii="Times New Roman" w:hAnsi="Times New Roman"/>
          <w:sz w:val="24"/>
          <w:szCs w:val="24"/>
        </w:rPr>
        <w:t xml:space="preserve">по 10-летним МЕУКАМ – 5,90%, </w:t>
      </w:r>
      <w:r w:rsidRPr="008B1B89">
        <w:rPr>
          <w:rFonts w:ascii="Times New Roman" w:hAnsi="Times New Roman"/>
          <w:snapToGrid w:val="0"/>
          <w:sz w:val="24"/>
          <w:szCs w:val="24"/>
        </w:rPr>
        <w:t>по 10-летним МЕУЖКАМ – 0,01% над уровнем инфляции.</w:t>
      </w:r>
      <w:proofErr w:type="gramEnd"/>
    </w:p>
    <w:p w:rsidR="008B1B89" w:rsidRPr="008B1B89" w:rsidRDefault="008B1B89" w:rsidP="008B1B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1B89">
        <w:rPr>
          <w:rFonts w:ascii="Times New Roman" w:hAnsi="Times New Roman"/>
          <w:sz w:val="24"/>
          <w:szCs w:val="24"/>
        </w:rPr>
        <w:t>Объем ценных бумаг Министерства финансов в обращении на конец июля 20</w:t>
      </w:r>
      <w:r w:rsidRPr="008B1B89">
        <w:rPr>
          <w:rFonts w:ascii="Times New Roman" w:hAnsi="Times New Roman"/>
          <w:sz w:val="24"/>
          <w:szCs w:val="24"/>
          <w:lang w:val="kk-KZ"/>
        </w:rPr>
        <w:t>13</w:t>
      </w:r>
      <w:r w:rsidRPr="008B1B89">
        <w:rPr>
          <w:rFonts w:ascii="Times New Roman" w:hAnsi="Times New Roman"/>
          <w:sz w:val="24"/>
          <w:szCs w:val="24"/>
        </w:rPr>
        <w:t xml:space="preserve"> года составил 3155,6 млрд. тенге, увеличившись по сравнению с предыдущим месяцем на 1,9%.</w:t>
      </w:r>
    </w:p>
    <w:p w:rsidR="008B1B89" w:rsidRPr="008B1B89" w:rsidRDefault="008B1B89" w:rsidP="008B1B89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4"/>
          <w:szCs w:val="24"/>
          <w:lang w:val="kk-KZ"/>
        </w:rPr>
      </w:pPr>
      <w:r w:rsidRPr="008B1B89">
        <w:rPr>
          <w:rFonts w:ascii="Times New Roman" w:hAnsi="Times New Roman"/>
          <w:b/>
          <w:i/>
          <w:iCs/>
          <w:sz w:val="24"/>
          <w:szCs w:val="24"/>
        </w:rPr>
        <w:t>Краткосрочные ноты Национального Банка Казахстана</w:t>
      </w:r>
      <w:r w:rsidRPr="008B1B89">
        <w:rPr>
          <w:rFonts w:ascii="Times New Roman" w:hAnsi="Times New Roman"/>
          <w:iCs/>
          <w:sz w:val="24"/>
          <w:szCs w:val="24"/>
        </w:rPr>
        <w:t xml:space="preserve">. </w:t>
      </w:r>
      <w:r w:rsidRPr="008B1B89">
        <w:rPr>
          <w:rFonts w:ascii="Times New Roman" w:hAnsi="Times New Roman"/>
          <w:sz w:val="24"/>
          <w:szCs w:val="24"/>
        </w:rPr>
        <w:t>Объем эмиссии нот Национального Банка за июль 20</w:t>
      </w:r>
      <w:r w:rsidRPr="008B1B89">
        <w:rPr>
          <w:rFonts w:ascii="Times New Roman" w:hAnsi="Times New Roman"/>
          <w:sz w:val="24"/>
          <w:szCs w:val="24"/>
          <w:lang w:val="kk-KZ"/>
        </w:rPr>
        <w:t>13</w:t>
      </w:r>
      <w:r w:rsidRPr="008B1B89">
        <w:rPr>
          <w:rFonts w:ascii="Times New Roman" w:hAnsi="Times New Roman"/>
          <w:sz w:val="24"/>
          <w:szCs w:val="24"/>
        </w:rPr>
        <w:t xml:space="preserve"> года составил 10,6 млрд. тенге. </w:t>
      </w:r>
    </w:p>
    <w:p w:rsidR="008B1B89" w:rsidRPr="008B1B89" w:rsidRDefault="008B1B89" w:rsidP="008B1B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1B89">
        <w:rPr>
          <w:rFonts w:ascii="Times New Roman" w:hAnsi="Times New Roman"/>
          <w:sz w:val="24"/>
          <w:szCs w:val="24"/>
        </w:rPr>
        <w:t>При этом состоялись 3 аукциона по размещению 3-месячных нот (7,0 млрд. тенге,</w:t>
      </w:r>
      <w:r w:rsidRPr="008B1B89">
        <w:rPr>
          <w:rFonts w:ascii="Times New Roman" w:hAnsi="Times New Roman"/>
          <w:sz w:val="24"/>
          <w:szCs w:val="24"/>
        </w:rPr>
        <w:br/>
        <w:t>1,0 млрд. тенге, 1,0 млрд. тенге) и 1 аукцион по размещению 6-месячных нот (1,6 млрд. тенге)</w:t>
      </w:r>
      <w:r w:rsidR="002015B1">
        <w:rPr>
          <w:rFonts w:ascii="Times New Roman" w:hAnsi="Times New Roman"/>
          <w:sz w:val="24"/>
          <w:szCs w:val="24"/>
        </w:rPr>
        <w:t>.</w:t>
      </w:r>
      <w:r w:rsidRPr="008B1B89">
        <w:rPr>
          <w:rFonts w:ascii="Times New Roman" w:hAnsi="Times New Roman"/>
          <w:sz w:val="24"/>
          <w:szCs w:val="24"/>
        </w:rPr>
        <w:t xml:space="preserve"> Эффективная доходность по 3-месячным нотам составила 1,05%, по 6-месячным нотам – 1,51%.</w:t>
      </w:r>
    </w:p>
    <w:p w:rsidR="008B1B89" w:rsidRPr="008B1B89" w:rsidRDefault="008B1B89" w:rsidP="008B1B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  <w:r w:rsidRPr="008B1B89">
        <w:rPr>
          <w:rFonts w:ascii="Times New Roman" w:hAnsi="Times New Roman"/>
          <w:sz w:val="24"/>
          <w:szCs w:val="24"/>
        </w:rPr>
        <w:t>Объем нот в обращении на конец июля 20</w:t>
      </w:r>
      <w:r w:rsidRPr="008B1B89">
        <w:rPr>
          <w:rFonts w:ascii="Times New Roman" w:hAnsi="Times New Roman"/>
          <w:sz w:val="24"/>
          <w:szCs w:val="24"/>
          <w:lang w:val="kk-KZ"/>
        </w:rPr>
        <w:t>13</w:t>
      </w:r>
      <w:r w:rsidRPr="008B1B89">
        <w:rPr>
          <w:rFonts w:ascii="Times New Roman" w:hAnsi="Times New Roman"/>
          <w:sz w:val="24"/>
          <w:szCs w:val="24"/>
        </w:rPr>
        <w:t xml:space="preserve"> года по сравнению с июнем 2013 года </w:t>
      </w:r>
      <w:r w:rsidRPr="008B1B89">
        <w:rPr>
          <w:rFonts w:ascii="Times New Roman" w:hAnsi="Times New Roman"/>
          <w:snapToGrid w:val="0"/>
          <w:sz w:val="24"/>
          <w:szCs w:val="24"/>
        </w:rPr>
        <w:t xml:space="preserve">сократился на </w:t>
      </w:r>
      <w:r w:rsidRPr="001B1A0F">
        <w:rPr>
          <w:rFonts w:ascii="Times New Roman" w:hAnsi="Times New Roman"/>
          <w:snapToGrid w:val="0"/>
          <w:sz w:val="24"/>
          <w:szCs w:val="24"/>
        </w:rPr>
        <w:t>14,8%</w:t>
      </w:r>
      <w:r w:rsidR="006A7874" w:rsidRPr="001B1A0F">
        <w:rPr>
          <w:rFonts w:ascii="Times New Roman" w:hAnsi="Times New Roman"/>
          <w:snapToGrid w:val="0"/>
          <w:sz w:val="24"/>
          <w:szCs w:val="24"/>
        </w:rPr>
        <w:t xml:space="preserve"> </w:t>
      </w:r>
      <w:r w:rsidR="006A7874" w:rsidRPr="001B1A0F">
        <w:rPr>
          <w:rFonts w:ascii="Times New Roman" w:eastAsiaTheme="minorHAnsi" w:hAnsi="Times New Roman"/>
          <w:color w:val="000000"/>
          <w:sz w:val="24"/>
          <w:szCs w:val="24"/>
        </w:rPr>
        <w:t>(с начала года сократился на 79,6%)</w:t>
      </w:r>
      <w:r w:rsidRPr="001B1A0F">
        <w:rPr>
          <w:rFonts w:ascii="Times New Roman" w:hAnsi="Times New Roman"/>
          <w:snapToGrid w:val="0"/>
          <w:sz w:val="24"/>
          <w:szCs w:val="24"/>
        </w:rPr>
        <w:t xml:space="preserve"> и </w:t>
      </w:r>
      <w:r w:rsidRPr="001B1A0F">
        <w:rPr>
          <w:rFonts w:ascii="Times New Roman" w:hAnsi="Times New Roman"/>
          <w:sz w:val="24"/>
          <w:szCs w:val="24"/>
        </w:rPr>
        <w:t>составил 38,0 млрд.</w:t>
      </w:r>
      <w:r w:rsidRPr="008B1B89">
        <w:rPr>
          <w:rFonts w:ascii="Times New Roman" w:hAnsi="Times New Roman"/>
          <w:sz w:val="24"/>
          <w:szCs w:val="24"/>
        </w:rPr>
        <w:t xml:space="preserve"> тенге.</w:t>
      </w:r>
    </w:p>
    <w:p w:rsidR="00055120" w:rsidRPr="002C2DF0" w:rsidRDefault="00055120" w:rsidP="00055120">
      <w:pPr>
        <w:pStyle w:val="a5"/>
        <w:spacing w:after="0" w:line="240" w:lineRule="auto"/>
        <w:ind w:left="1080"/>
        <w:jc w:val="both"/>
        <w:rPr>
          <w:rFonts w:ascii="Times New Roman" w:eastAsia="Times New Roman" w:hAnsi="Times New Roman"/>
          <w:b/>
          <w:snapToGrid w:val="0"/>
          <w:sz w:val="24"/>
          <w:szCs w:val="24"/>
          <w:highlight w:val="yellow"/>
          <w:lang w:val="kk-KZ" w:eastAsia="ru-RU"/>
        </w:rPr>
      </w:pPr>
    </w:p>
    <w:p w:rsidR="00BC0245" w:rsidRPr="009D77FD" w:rsidRDefault="00BC0245" w:rsidP="009D77FD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  <w:r w:rsidRPr="009D77FD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 xml:space="preserve">Межбанковский денежный рынок </w:t>
      </w:r>
    </w:p>
    <w:p w:rsidR="00DF0C9F" w:rsidRPr="00DF0C9F" w:rsidRDefault="00DF0C9F" w:rsidP="00DF0C9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0C9F">
        <w:rPr>
          <w:rFonts w:ascii="Times New Roman" w:eastAsia="Times New Roman" w:hAnsi="Times New Roman"/>
          <w:sz w:val="24"/>
          <w:szCs w:val="24"/>
          <w:lang w:eastAsia="ru-RU"/>
        </w:rPr>
        <w:t xml:space="preserve">В июне 2013 года общий объем размещенных межбанковских депозитов по сравнению с маем </w:t>
      </w:r>
      <w:r w:rsidR="006F3072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2013 </w:t>
      </w:r>
      <w:r w:rsidR="006F3072">
        <w:rPr>
          <w:rFonts w:ascii="Times New Roman" w:eastAsia="Times New Roman" w:hAnsi="Times New Roman"/>
          <w:sz w:val="24"/>
          <w:szCs w:val="24"/>
          <w:lang w:eastAsia="ru-RU"/>
        </w:rPr>
        <w:t xml:space="preserve">года </w:t>
      </w:r>
      <w:r w:rsidRPr="00DF0C9F">
        <w:rPr>
          <w:rFonts w:ascii="Times New Roman" w:eastAsia="Times New Roman" w:hAnsi="Times New Roman"/>
          <w:sz w:val="24"/>
          <w:szCs w:val="24"/>
          <w:lang w:eastAsia="ru-RU"/>
        </w:rPr>
        <w:t>уменьшился на 12,4%, составив в эквиваленте 2287,7 млрд. тенге.</w:t>
      </w:r>
    </w:p>
    <w:p w:rsidR="00DF0C9F" w:rsidRPr="00DF0C9F" w:rsidRDefault="00DF0C9F" w:rsidP="00DF0C9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0C9F">
        <w:rPr>
          <w:rFonts w:ascii="Times New Roman" w:eastAsia="Times New Roman" w:hAnsi="Times New Roman"/>
          <w:sz w:val="24"/>
          <w:szCs w:val="24"/>
          <w:lang w:eastAsia="ru-RU"/>
        </w:rPr>
        <w:t xml:space="preserve">Объем размещенных межбанковских </w:t>
      </w:r>
      <w:proofErr w:type="spellStart"/>
      <w:r w:rsidRPr="00DF0C9F">
        <w:rPr>
          <w:rFonts w:ascii="Times New Roman" w:eastAsia="Times New Roman" w:hAnsi="Times New Roman"/>
          <w:sz w:val="24"/>
          <w:szCs w:val="24"/>
          <w:lang w:eastAsia="ru-RU"/>
        </w:rPr>
        <w:t>тенговых</w:t>
      </w:r>
      <w:proofErr w:type="spellEnd"/>
      <w:r w:rsidRPr="00DF0C9F">
        <w:rPr>
          <w:rFonts w:ascii="Times New Roman" w:eastAsia="Times New Roman" w:hAnsi="Times New Roman"/>
          <w:sz w:val="24"/>
          <w:szCs w:val="24"/>
          <w:lang w:eastAsia="ru-RU"/>
        </w:rPr>
        <w:t xml:space="preserve"> депозитов снизился на 68,9% и составил 114,0 млрд. тенге (5,0% от общего объема размещенных депозитов). При этом средневзвешенная ставка вознаграждения по размещенным межбанковским </w:t>
      </w:r>
      <w:proofErr w:type="spellStart"/>
      <w:r w:rsidRPr="00DF0C9F">
        <w:rPr>
          <w:rFonts w:ascii="Times New Roman" w:eastAsia="Times New Roman" w:hAnsi="Times New Roman"/>
          <w:sz w:val="24"/>
          <w:szCs w:val="24"/>
          <w:lang w:eastAsia="ru-RU"/>
        </w:rPr>
        <w:t>тенговым</w:t>
      </w:r>
      <w:proofErr w:type="spellEnd"/>
      <w:r w:rsidRPr="00DF0C9F">
        <w:rPr>
          <w:rFonts w:ascii="Times New Roman" w:eastAsia="Times New Roman" w:hAnsi="Times New Roman"/>
          <w:sz w:val="24"/>
          <w:szCs w:val="24"/>
          <w:lang w:eastAsia="ru-RU"/>
        </w:rPr>
        <w:t xml:space="preserve"> депозитам в июне 2013 года выросла с 0,83% до 1,23%.</w:t>
      </w:r>
    </w:p>
    <w:p w:rsidR="00DF0C9F" w:rsidRPr="00DF0C9F" w:rsidRDefault="00DF0C9F" w:rsidP="00DF0C9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0C9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В июне 2013 года объем размещенных долларовых депозитов по сравнению с маем </w:t>
      </w:r>
      <w:r w:rsidR="006F3072">
        <w:rPr>
          <w:rFonts w:ascii="Times New Roman" w:eastAsia="Times New Roman" w:hAnsi="Times New Roman"/>
          <w:sz w:val="24"/>
          <w:szCs w:val="24"/>
          <w:lang w:eastAsia="ru-RU"/>
        </w:rPr>
        <w:t xml:space="preserve">2013 года </w:t>
      </w:r>
      <w:r w:rsidRPr="00DF0C9F">
        <w:rPr>
          <w:rFonts w:ascii="Times New Roman" w:eastAsia="Times New Roman" w:hAnsi="Times New Roman"/>
          <w:sz w:val="24"/>
          <w:szCs w:val="24"/>
          <w:lang w:eastAsia="ru-RU"/>
        </w:rPr>
        <w:t>уменьшился на 3,0% и составил 13,5 млрд. долл. США (89,6% от общего объема размещенных депозитов). Средневзвешенная ставка вознаграждения по размещенным долларовым депозитам в июне 2013 года снизилась с 0,14% до 0,09%.</w:t>
      </w:r>
    </w:p>
    <w:p w:rsidR="00DF0C9F" w:rsidRPr="00DF0C9F" w:rsidRDefault="00DF0C9F" w:rsidP="00DF0C9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0C9F">
        <w:rPr>
          <w:rFonts w:ascii="Times New Roman" w:eastAsia="Times New Roman" w:hAnsi="Times New Roman"/>
          <w:sz w:val="24"/>
          <w:szCs w:val="24"/>
          <w:lang w:eastAsia="ru-RU"/>
        </w:rPr>
        <w:t>Объем размещенных депозитов в российских рублях за месяц увеличился на 0,9% и составил 25,1 млрд. рублей (5,2% от общего объема размещенных депозитов). Средневзвешенная ставка вознаграждения по размещенным депозитам в рублях выросла с 4,96% до 5,01%.</w:t>
      </w:r>
    </w:p>
    <w:p w:rsidR="00DF0C9F" w:rsidRPr="00DF0C9F" w:rsidRDefault="00DF0C9F" w:rsidP="00DF0C9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0C9F">
        <w:rPr>
          <w:rFonts w:ascii="Times New Roman" w:eastAsia="Times New Roman" w:hAnsi="Times New Roman"/>
          <w:sz w:val="24"/>
          <w:szCs w:val="24"/>
          <w:lang w:eastAsia="ru-RU"/>
        </w:rPr>
        <w:t xml:space="preserve">Объем размещения депозитов </w:t>
      </w:r>
      <w:r w:rsidR="00837388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DF0C9F">
        <w:rPr>
          <w:rFonts w:ascii="Times New Roman" w:eastAsia="Times New Roman" w:hAnsi="Times New Roman"/>
          <w:sz w:val="24"/>
          <w:szCs w:val="24"/>
          <w:lang w:eastAsia="ru-RU"/>
        </w:rPr>
        <w:t xml:space="preserve"> евро незначителен – 0,3% от общего объема размещенных депозитов.</w:t>
      </w:r>
    </w:p>
    <w:p w:rsidR="00DF0C9F" w:rsidRPr="00DF0C9F" w:rsidRDefault="00DF0C9F" w:rsidP="00DF0C9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0C9F">
        <w:rPr>
          <w:rFonts w:ascii="Times New Roman" w:eastAsia="Times New Roman" w:hAnsi="Times New Roman"/>
          <w:sz w:val="24"/>
          <w:szCs w:val="24"/>
          <w:lang w:eastAsia="ru-RU"/>
        </w:rPr>
        <w:t>Доля межбанковских депозитов в иностранной валюте увеличилась за июнь 2013 года с 86,0% до 95,0% от общего объема размещенных депозитов. Доля депозитов, размещенных в банках-нерезидентах в иностранной валюте, увеличилась с 84,8% до 94,6% от общего объема размещенных межбанковских депозитов.</w:t>
      </w:r>
    </w:p>
    <w:p w:rsidR="00E61853" w:rsidRDefault="00DF0C9F" w:rsidP="00DF0C9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0C9F">
        <w:rPr>
          <w:rFonts w:ascii="Times New Roman" w:eastAsia="Times New Roman" w:hAnsi="Times New Roman"/>
          <w:sz w:val="24"/>
          <w:szCs w:val="24"/>
          <w:lang w:eastAsia="ru-RU"/>
        </w:rPr>
        <w:t>Объем привлеченных Национальным Банком депозитов от банков в июне 2013 года по сравнению с маем</w:t>
      </w:r>
      <w:r w:rsidR="006F3072">
        <w:rPr>
          <w:rFonts w:ascii="Times New Roman" w:eastAsia="Times New Roman" w:hAnsi="Times New Roman"/>
          <w:sz w:val="24"/>
          <w:szCs w:val="24"/>
          <w:lang w:eastAsia="ru-RU"/>
        </w:rPr>
        <w:t xml:space="preserve"> 2013 года</w:t>
      </w:r>
      <w:r w:rsidRPr="00DF0C9F">
        <w:rPr>
          <w:rFonts w:ascii="Times New Roman" w:eastAsia="Times New Roman" w:hAnsi="Times New Roman"/>
          <w:sz w:val="24"/>
          <w:szCs w:val="24"/>
          <w:lang w:eastAsia="ru-RU"/>
        </w:rPr>
        <w:t xml:space="preserve"> уменьшился на 74,9% до 85,6 млрд. тенге.</w:t>
      </w:r>
    </w:p>
    <w:p w:rsidR="00DF0C9F" w:rsidRPr="00864B61" w:rsidRDefault="00DF0C9F" w:rsidP="00DF0C9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7659B" w:rsidRPr="007E2876" w:rsidRDefault="0087659B" w:rsidP="009D77FD">
      <w:pPr>
        <w:pStyle w:val="a5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E287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Депозитный рынок </w:t>
      </w:r>
    </w:p>
    <w:p w:rsidR="0080541D" w:rsidRPr="0080541D" w:rsidRDefault="0080541D" w:rsidP="0080541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541D">
        <w:rPr>
          <w:rFonts w:ascii="Times New Roman" w:eastAsia="Times New Roman" w:hAnsi="Times New Roman"/>
          <w:sz w:val="24"/>
          <w:szCs w:val="24"/>
          <w:lang w:eastAsia="ru-RU"/>
        </w:rPr>
        <w:t xml:space="preserve">Общий объем депозитов резидентов в депозитных организациях за июнь 2013 года повысился на 2,0% до 10055,4 млрд. тенге (с начала года рост на 11,8%). Депозиты юридических лиц повысились за месяц на 2,3% до 6449,4 млрд. тенге (с начала года рост на 14,7%), физических лиц - повысились на 1,5% до 3606,0 млрд. тенге (с начала года рост </w:t>
      </w:r>
      <w:proofErr w:type="gramStart"/>
      <w:r w:rsidRPr="0080541D">
        <w:rPr>
          <w:rFonts w:ascii="Times New Roman" w:eastAsia="Times New Roman" w:hAnsi="Times New Roman"/>
          <w:sz w:val="24"/>
          <w:szCs w:val="24"/>
          <w:lang w:eastAsia="ru-RU"/>
        </w:rPr>
        <w:t>на</w:t>
      </w:r>
      <w:proofErr w:type="gramEnd"/>
      <w:r w:rsidRPr="0080541D">
        <w:rPr>
          <w:rFonts w:ascii="Times New Roman" w:eastAsia="Times New Roman" w:hAnsi="Times New Roman"/>
          <w:sz w:val="24"/>
          <w:szCs w:val="24"/>
          <w:lang w:eastAsia="ru-RU"/>
        </w:rPr>
        <w:t xml:space="preserve"> 6,9%). </w:t>
      </w:r>
    </w:p>
    <w:p w:rsidR="0080541D" w:rsidRPr="0080541D" w:rsidRDefault="0080541D" w:rsidP="0080541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541D">
        <w:rPr>
          <w:rFonts w:ascii="Times New Roman" w:eastAsia="Times New Roman" w:hAnsi="Times New Roman"/>
          <w:sz w:val="24"/>
          <w:szCs w:val="24"/>
          <w:lang w:eastAsia="ru-RU"/>
        </w:rPr>
        <w:t xml:space="preserve">В июне 2013 года объем депозитов в национальной валюте увеличился на 2,9% до 6602,1 млрд. тенге (юридические лица – рост на 3,4%, физические лица – рост на 1,8%), в иностранной валюте – повысился на 0,3% до 3453,2 млрд. тенге (юридические лица – снижение на 0,1%, физические лица – рост </w:t>
      </w:r>
      <w:proofErr w:type="gramStart"/>
      <w:r w:rsidRPr="0080541D">
        <w:rPr>
          <w:rFonts w:ascii="Times New Roman" w:eastAsia="Times New Roman" w:hAnsi="Times New Roman"/>
          <w:sz w:val="24"/>
          <w:szCs w:val="24"/>
          <w:lang w:eastAsia="ru-RU"/>
        </w:rPr>
        <w:t>на</w:t>
      </w:r>
      <w:proofErr w:type="gramEnd"/>
      <w:r w:rsidRPr="0080541D">
        <w:rPr>
          <w:rFonts w:ascii="Times New Roman" w:eastAsia="Times New Roman" w:hAnsi="Times New Roman"/>
          <w:sz w:val="24"/>
          <w:szCs w:val="24"/>
          <w:lang w:eastAsia="ru-RU"/>
        </w:rPr>
        <w:t xml:space="preserve"> 0,9%). Удельный вес депозитов в тенге повысился за месяц с 65,1% до 65,7%.</w:t>
      </w:r>
    </w:p>
    <w:p w:rsidR="0080541D" w:rsidRPr="0080541D" w:rsidRDefault="0080541D" w:rsidP="0080541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541D">
        <w:rPr>
          <w:rFonts w:ascii="Times New Roman" w:eastAsia="Times New Roman" w:hAnsi="Times New Roman"/>
          <w:sz w:val="24"/>
          <w:szCs w:val="24"/>
          <w:lang w:eastAsia="ru-RU"/>
        </w:rPr>
        <w:t xml:space="preserve">Вклады населения в банках (с учетом нерезидентов) повысились за июнь 2013 года на 1,5% до 3643,1 млрд. тенге (с начала года рост на 6,9%). В структуре вкладов населения </w:t>
      </w:r>
      <w:proofErr w:type="spellStart"/>
      <w:r w:rsidRPr="0080541D">
        <w:rPr>
          <w:rFonts w:ascii="Times New Roman" w:eastAsia="Times New Roman" w:hAnsi="Times New Roman"/>
          <w:sz w:val="24"/>
          <w:szCs w:val="24"/>
          <w:lang w:eastAsia="ru-RU"/>
        </w:rPr>
        <w:t>тенговые</w:t>
      </w:r>
      <w:proofErr w:type="spellEnd"/>
      <w:r w:rsidRPr="0080541D">
        <w:rPr>
          <w:rFonts w:ascii="Times New Roman" w:eastAsia="Times New Roman" w:hAnsi="Times New Roman"/>
          <w:sz w:val="24"/>
          <w:szCs w:val="24"/>
          <w:lang w:eastAsia="ru-RU"/>
        </w:rPr>
        <w:t xml:space="preserve"> депозиты повысились на 1,8% до 2218,7 млрд. тенге, депозиты в иностранной валюте повысились на 1,0% до 1424,4 млрд. тенге. В составе вкладов населения удельный вес депозитов в тенге увеличился за месяц с 60,7% до 60,9%.</w:t>
      </w:r>
    </w:p>
    <w:p w:rsidR="0080541D" w:rsidRPr="0080541D" w:rsidRDefault="0080541D" w:rsidP="0080541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541D">
        <w:rPr>
          <w:rFonts w:ascii="Times New Roman" w:eastAsia="Times New Roman" w:hAnsi="Times New Roman"/>
          <w:sz w:val="24"/>
          <w:szCs w:val="24"/>
          <w:lang w:eastAsia="ru-RU"/>
        </w:rPr>
        <w:t xml:space="preserve">Срочные депозиты за июнь 2013 года повысились на 6,8% до 6588,1 млрд. тенге. В составе срочных депозитов </w:t>
      </w:r>
      <w:proofErr w:type="spellStart"/>
      <w:r w:rsidRPr="0080541D">
        <w:rPr>
          <w:rFonts w:ascii="Times New Roman" w:eastAsia="Times New Roman" w:hAnsi="Times New Roman"/>
          <w:sz w:val="24"/>
          <w:szCs w:val="24"/>
          <w:lang w:eastAsia="ru-RU"/>
        </w:rPr>
        <w:t>тенговые</w:t>
      </w:r>
      <w:proofErr w:type="spellEnd"/>
      <w:r w:rsidRPr="0080541D">
        <w:rPr>
          <w:rFonts w:ascii="Times New Roman" w:eastAsia="Times New Roman" w:hAnsi="Times New Roman"/>
          <w:sz w:val="24"/>
          <w:szCs w:val="24"/>
          <w:lang w:eastAsia="ru-RU"/>
        </w:rPr>
        <w:t xml:space="preserve"> депозиты повысились на 2,1% до 4151,7 млрд. тенге, депозиты в иностранной валюте – повысились на 15,9% до 2436,4 млрд. тенге.</w:t>
      </w:r>
    </w:p>
    <w:p w:rsidR="00404710" w:rsidRDefault="0080541D" w:rsidP="0080541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541D">
        <w:rPr>
          <w:rFonts w:ascii="Times New Roman" w:eastAsia="Times New Roman" w:hAnsi="Times New Roman"/>
          <w:sz w:val="24"/>
          <w:szCs w:val="24"/>
          <w:lang w:eastAsia="ru-RU"/>
        </w:rPr>
        <w:t xml:space="preserve">В июне 2013 года средневзвешенная ставка вознаграждения по </w:t>
      </w:r>
      <w:proofErr w:type="spellStart"/>
      <w:r w:rsidRPr="0080541D">
        <w:rPr>
          <w:rFonts w:ascii="Times New Roman" w:eastAsia="Times New Roman" w:hAnsi="Times New Roman"/>
          <w:sz w:val="24"/>
          <w:szCs w:val="24"/>
          <w:lang w:eastAsia="ru-RU"/>
        </w:rPr>
        <w:t>тенговым</w:t>
      </w:r>
      <w:proofErr w:type="spellEnd"/>
      <w:r w:rsidRPr="0080541D">
        <w:rPr>
          <w:rFonts w:ascii="Times New Roman" w:eastAsia="Times New Roman" w:hAnsi="Times New Roman"/>
          <w:sz w:val="24"/>
          <w:szCs w:val="24"/>
          <w:lang w:eastAsia="ru-RU"/>
        </w:rPr>
        <w:t xml:space="preserve"> срочным депозитам небанковских юридических лиц составила 3,6% (в мае 2013 года – 3,2%), а по депозитам физических лиц – 6,8% (6,8%).</w:t>
      </w:r>
    </w:p>
    <w:p w:rsidR="0080541D" w:rsidRDefault="0080541D" w:rsidP="0080541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C0245" w:rsidRPr="007E2876" w:rsidRDefault="004D5022" w:rsidP="009D77FD">
      <w:pPr>
        <w:pStyle w:val="a5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К</w:t>
      </w:r>
      <w:r w:rsidR="005869DE">
        <w:rPr>
          <w:rFonts w:ascii="Times New Roman" w:eastAsia="Times New Roman" w:hAnsi="Times New Roman"/>
          <w:b/>
          <w:sz w:val="24"/>
          <w:szCs w:val="24"/>
          <w:lang w:eastAsia="ru-RU"/>
        </w:rPr>
        <w:t>редитный рынок</w:t>
      </w:r>
    </w:p>
    <w:p w:rsidR="00D57439" w:rsidRPr="00A23BFB" w:rsidRDefault="00D57439" w:rsidP="00D5743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3BFB">
        <w:rPr>
          <w:rFonts w:ascii="Times New Roman" w:eastAsia="Times New Roman" w:hAnsi="Times New Roman"/>
          <w:sz w:val="24"/>
          <w:szCs w:val="24"/>
          <w:lang w:eastAsia="ru-RU"/>
        </w:rPr>
        <w:t xml:space="preserve">Общий объем кредитования банками экономики за </w:t>
      </w:r>
      <w:r w:rsidR="001D63DE" w:rsidRPr="00A23BFB">
        <w:rPr>
          <w:rFonts w:ascii="Times New Roman" w:eastAsia="Times New Roman" w:hAnsi="Times New Roman"/>
          <w:sz w:val="24"/>
          <w:szCs w:val="24"/>
          <w:lang w:eastAsia="ru-RU"/>
        </w:rPr>
        <w:t>июнь</w:t>
      </w:r>
      <w:r w:rsidRPr="00A23BFB">
        <w:rPr>
          <w:rFonts w:ascii="Times New Roman" w:eastAsia="Times New Roman" w:hAnsi="Times New Roman"/>
          <w:sz w:val="24"/>
          <w:szCs w:val="24"/>
          <w:lang w:eastAsia="ru-RU"/>
        </w:rPr>
        <w:t xml:space="preserve"> 2013 года повысился на 1,</w:t>
      </w:r>
      <w:r w:rsidR="001D63DE" w:rsidRPr="00A23BFB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A23BFB">
        <w:rPr>
          <w:rFonts w:ascii="Times New Roman" w:eastAsia="Times New Roman" w:hAnsi="Times New Roman"/>
          <w:sz w:val="24"/>
          <w:szCs w:val="24"/>
          <w:lang w:eastAsia="ru-RU"/>
        </w:rPr>
        <w:t>%, составив 10</w:t>
      </w:r>
      <w:r w:rsidR="001D63DE" w:rsidRPr="00A23BFB">
        <w:rPr>
          <w:rFonts w:ascii="Times New Roman" w:eastAsia="Times New Roman" w:hAnsi="Times New Roman"/>
          <w:sz w:val="24"/>
          <w:szCs w:val="24"/>
          <w:lang w:eastAsia="ru-RU"/>
        </w:rPr>
        <w:t>545</w:t>
      </w:r>
      <w:r w:rsidRPr="00A23BFB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1D63DE" w:rsidRPr="00A23BFB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A23BFB">
        <w:rPr>
          <w:rFonts w:ascii="Times New Roman" w:eastAsia="Times New Roman" w:hAnsi="Times New Roman"/>
          <w:sz w:val="24"/>
          <w:szCs w:val="24"/>
          <w:lang w:eastAsia="ru-RU"/>
        </w:rPr>
        <w:t xml:space="preserve"> млрд. тенге (с начала года рост на </w:t>
      </w:r>
      <w:r w:rsidR="001601BE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A23BFB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1601BE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A23BFB">
        <w:rPr>
          <w:rFonts w:ascii="Times New Roman" w:eastAsia="Times New Roman" w:hAnsi="Times New Roman"/>
          <w:sz w:val="24"/>
          <w:szCs w:val="24"/>
          <w:lang w:eastAsia="ru-RU"/>
        </w:rPr>
        <w:t>%).</w:t>
      </w:r>
    </w:p>
    <w:p w:rsidR="00CE7300" w:rsidRPr="00A23BFB" w:rsidRDefault="00CE7300" w:rsidP="00CE730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3BFB">
        <w:rPr>
          <w:rFonts w:ascii="Times New Roman" w:eastAsia="Times New Roman" w:hAnsi="Times New Roman"/>
          <w:sz w:val="24"/>
          <w:szCs w:val="24"/>
          <w:lang w:eastAsia="ru-RU"/>
        </w:rPr>
        <w:t>Объем кредитов в на</w:t>
      </w:r>
      <w:r w:rsidR="001D63DE" w:rsidRPr="00A23BFB">
        <w:rPr>
          <w:rFonts w:ascii="Times New Roman" w:eastAsia="Times New Roman" w:hAnsi="Times New Roman"/>
          <w:sz w:val="24"/>
          <w:szCs w:val="24"/>
          <w:lang w:eastAsia="ru-RU"/>
        </w:rPr>
        <w:t>циональной валюте повысился на 0</w:t>
      </w:r>
      <w:r w:rsidRPr="00A23BFB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1D63DE" w:rsidRPr="00A23BFB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A23BFB">
        <w:rPr>
          <w:rFonts w:ascii="Times New Roman" w:eastAsia="Times New Roman" w:hAnsi="Times New Roman"/>
          <w:sz w:val="24"/>
          <w:szCs w:val="24"/>
          <w:lang w:eastAsia="ru-RU"/>
        </w:rPr>
        <w:t>% до 75</w:t>
      </w:r>
      <w:r w:rsidR="001D63DE" w:rsidRPr="00A23BFB">
        <w:rPr>
          <w:rFonts w:ascii="Times New Roman" w:eastAsia="Times New Roman" w:hAnsi="Times New Roman"/>
          <w:sz w:val="24"/>
          <w:szCs w:val="24"/>
          <w:lang w:eastAsia="ru-RU"/>
        </w:rPr>
        <w:t>50</w:t>
      </w:r>
      <w:r w:rsidRPr="00A23BFB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1D63DE" w:rsidRPr="00A23BFB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A23BFB">
        <w:rPr>
          <w:rFonts w:ascii="Times New Roman" w:eastAsia="Times New Roman" w:hAnsi="Times New Roman"/>
          <w:sz w:val="24"/>
          <w:szCs w:val="24"/>
          <w:lang w:eastAsia="ru-RU"/>
        </w:rPr>
        <w:t xml:space="preserve"> млрд. тенге (с начала года рост на 7,</w:t>
      </w:r>
      <w:r w:rsidR="001601BE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A23BFB">
        <w:rPr>
          <w:rFonts w:ascii="Times New Roman" w:eastAsia="Times New Roman" w:hAnsi="Times New Roman"/>
          <w:sz w:val="24"/>
          <w:szCs w:val="24"/>
          <w:lang w:eastAsia="ru-RU"/>
        </w:rPr>
        <w:t>%), в ино</w:t>
      </w:r>
      <w:r w:rsidR="001D63DE" w:rsidRPr="00A23BFB">
        <w:rPr>
          <w:rFonts w:ascii="Times New Roman" w:eastAsia="Times New Roman" w:hAnsi="Times New Roman"/>
          <w:sz w:val="24"/>
          <w:szCs w:val="24"/>
          <w:lang w:eastAsia="ru-RU"/>
        </w:rPr>
        <w:t>странной валюте – повысился на 5</w:t>
      </w:r>
      <w:r w:rsidRPr="00A23BFB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1D63DE" w:rsidRPr="00A23BFB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A23BFB">
        <w:rPr>
          <w:rFonts w:ascii="Times New Roman" w:eastAsia="Times New Roman" w:hAnsi="Times New Roman"/>
          <w:sz w:val="24"/>
          <w:szCs w:val="24"/>
          <w:lang w:eastAsia="ru-RU"/>
        </w:rPr>
        <w:t>% до 2</w:t>
      </w:r>
      <w:r w:rsidR="001D63DE" w:rsidRPr="00A23BFB">
        <w:rPr>
          <w:rFonts w:ascii="Times New Roman" w:eastAsia="Times New Roman" w:hAnsi="Times New Roman"/>
          <w:sz w:val="24"/>
          <w:szCs w:val="24"/>
          <w:lang w:eastAsia="ru-RU"/>
        </w:rPr>
        <w:t>994</w:t>
      </w:r>
      <w:r w:rsidRPr="00A23BFB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1601BE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A23BFB">
        <w:rPr>
          <w:rFonts w:ascii="Times New Roman" w:eastAsia="Times New Roman" w:hAnsi="Times New Roman"/>
          <w:sz w:val="24"/>
          <w:szCs w:val="24"/>
          <w:lang w:eastAsia="ru-RU"/>
        </w:rPr>
        <w:t xml:space="preserve"> млрд. тенге (с начала года </w:t>
      </w:r>
      <w:r w:rsidR="001D63DE" w:rsidRPr="00A23BFB">
        <w:rPr>
          <w:rFonts w:ascii="Times New Roman" w:eastAsia="Times New Roman" w:hAnsi="Times New Roman"/>
          <w:sz w:val="24"/>
          <w:szCs w:val="24"/>
          <w:lang w:eastAsia="ru-RU"/>
        </w:rPr>
        <w:t>рост</w:t>
      </w:r>
      <w:r w:rsidRPr="00A23BF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A23BFB">
        <w:rPr>
          <w:rFonts w:ascii="Times New Roman" w:eastAsia="Times New Roman" w:hAnsi="Times New Roman"/>
          <w:sz w:val="24"/>
          <w:szCs w:val="24"/>
          <w:lang w:eastAsia="ru-RU"/>
        </w:rPr>
        <w:t>на</w:t>
      </w:r>
      <w:proofErr w:type="gramEnd"/>
      <w:r w:rsidRPr="00A23BF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601BE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A23BFB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1601BE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A23BFB">
        <w:rPr>
          <w:rFonts w:ascii="Times New Roman" w:eastAsia="Times New Roman" w:hAnsi="Times New Roman"/>
          <w:sz w:val="24"/>
          <w:szCs w:val="24"/>
          <w:lang w:eastAsia="ru-RU"/>
        </w:rPr>
        <w:t xml:space="preserve">%). Удельный вес кредитов в тенге </w:t>
      </w:r>
      <w:r w:rsidR="000453DC" w:rsidRPr="00A23BFB">
        <w:rPr>
          <w:rFonts w:ascii="Times New Roman" w:eastAsia="Times New Roman" w:hAnsi="Times New Roman"/>
          <w:sz w:val="24"/>
          <w:szCs w:val="24"/>
          <w:lang w:eastAsia="ru-RU"/>
        </w:rPr>
        <w:t>снизился за месяц с 72,6</w:t>
      </w:r>
      <w:r w:rsidRPr="00A23BFB">
        <w:rPr>
          <w:rFonts w:ascii="Times New Roman" w:eastAsia="Times New Roman" w:hAnsi="Times New Roman"/>
          <w:sz w:val="24"/>
          <w:szCs w:val="24"/>
          <w:lang w:eastAsia="ru-RU"/>
        </w:rPr>
        <w:t>% до 7</w:t>
      </w:r>
      <w:r w:rsidR="000453DC" w:rsidRPr="00A23BFB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A23BFB">
        <w:rPr>
          <w:rFonts w:ascii="Times New Roman" w:eastAsia="Times New Roman" w:hAnsi="Times New Roman"/>
          <w:sz w:val="24"/>
          <w:szCs w:val="24"/>
          <w:lang w:eastAsia="ru-RU"/>
        </w:rPr>
        <w:t>,6%.</w:t>
      </w:r>
    </w:p>
    <w:p w:rsidR="00D57439" w:rsidRPr="00A23BFB" w:rsidRDefault="00D57439" w:rsidP="00D5743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3BFB">
        <w:rPr>
          <w:rFonts w:ascii="Times New Roman" w:eastAsia="Times New Roman" w:hAnsi="Times New Roman"/>
          <w:sz w:val="24"/>
          <w:szCs w:val="24"/>
          <w:lang w:eastAsia="ru-RU"/>
        </w:rPr>
        <w:t xml:space="preserve">Долгосрочное кредитование в </w:t>
      </w:r>
      <w:r w:rsidR="000453DC" w:rsidRPr="00A23BFB">
        <w:rPr>
          <w:rFonts w:ascii="Times New Roman" w:eastAsia="Times New Roman" w:hAnsi="Times New Roman"/>
          <w:sz w:val="24"/>
          <w:szCs w:val="24"/>
          <w:lang w:eastAsia="ru-RU"/>
        </w:rPr>
        <w:t>июне</w:t>
      </w:r>
      <w:r w:rsidRPr="00A23BFB">
        <w:rPr>
          <w:rFonts w:ascii="Times New Roman" w:eastAsia="Times New Roman" w:hAnsi="Times New Roman"/>
          <w:sz w:val="24"/>
          <w:szCs w:val="24"/>
          <w:lang w:eastAsia="ru-RU"/>
        </w:rPr>
        <w:t xml:space="preserve"> 2013 года повысилось на 1,</w:t>
      </w:r>
      <w:r w:rsidR="000453DC" w:rsidRPr="00A23BFB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A23BFB">
        <w:rPr>
          <w:rFonts w:ascii="Times New Roman" w:eastAsia="Times New Roman" w:hAnsi="Times New Roman"/>
          <w:sz w:val="24"/>
          <w:szCs w:val="24"/>
          <w:lang w:eastAsia="ru-RU"/>
        </w:rPr>
        <w:t>%, составив 8</w:t>
      </w:r>
      <w:r w:rsidR="000453DC" w:rsidRPr="00A23BFB">
        <w:rPr>
          <w:rFonts w:ascii="Times New Roman" w:eastAsia="Times New Roman" w:hAnsi="Times New Roman"/>
          <w:sz w:val="24"/>
          <w:szCs w:val="24"/>
          <w:lang w:eastAsia="ru-RU"/>
        </w:rPr>
        <w:t>569</w:t>
      </w:r>
      <w:r w:rsidRPr="00A23BFB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0453DC" w:rsidRPr="00A23BFB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A23BFB">
        <w:rPr>
          <w:rFonts w:ascii="Times New Roman" w:eastAsia="Times New Roman" w:hAnsi="Times New Roman"/>
          <w:sz w:val="24"/>
          <w:szCs w:val="24"/>
          <w:lang w:eastAsia="ru-RU"/>
        </w:rPr>
        <w:t xml:space="preserve"> млрд. тенге, краткосрочное – </w:t>
      </w:r>
      <w:r w:rsidR="000453DC" w:rsidRPr="00A23BFB">
        <w:rPr>
          <w:rFonts w:ascii="Times New Roman" w:eastAsia="Times New Roman" w:hAnsi="Times New Roman"/>
          <w:sz w:val="24"/>
          <w:szCs w:val="24"/>
          <w:lang w:eastAsia="ru-RU"/>
        </w:rPr>
        <w:t>повысились</w:t>
      </w:r>
      <w:r w:rsidRPr="00A23BFB">
        <w:rPr>
          <w:rFonts w:ascii="Times New Roman" w:eastAsia="Times New Roman" w:hAnsi="Times New Roman"/>
          <w:sz w:val="24"/>
          <w:szCs w:val="24"/>
          <w:lang w:eastAsia="ru-RU"/>
        </w:rPr>
        <w:t xml:space="preserve"> на </w:t>
      </w:r>
      <w:r w:rsidR="000453DC" w:rsidRPr="00A23BFB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A23BFB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0453DC" w:rsidRPr="00A23BFB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A23BFB">
        <w:rPr>
          <w:rFonts w:ascii="Times New Roman" w:eastAsia="Times New Roman" w:hAnsi="Times New Roman"/>
          <w:sz w:val="24"/>
          <w:szCs w:val="24"/>
          <w:lang w:eastAsia="ru-RU"/>
        </w:rPr>
        <w:t>% до 19</w:t>
      </w:r>
      <w:r w:rsidR="000453DC" w:rsidRPr="00A23BFB">
        <w:rPr>
          <w:rFonts w:ascii="Times New Roman" w:eastAsia="Times New Roman" w:hAnsi="Times New Roman"/>
          <w:sz w:val="24"/>
          <w:szCs w:val="24"/>
          <w:lang w:eastAsia="ru-RU"/>
        </w:rPr>
        <w:t>75</w:t>
      </w:r>
      <w:r w:rsidRPr="00A23BFB">
        <w:rPr>
          <w:rFonts w:ascii="Times New Roman" w:eastAsia="Times New Roman" w:hAnsi="Times New Roman"/>
          <w:sz w:val="24"/>
          <w:szCs w:val="24"/>
          <w:lang w:eastAsia="ru-RU"/>
        </w:rPr>
        <w:t>,1 млрд. тенге. Удельный вес долгосрочных кредитов повысился за месяц с 8</w:t>
      </w:r>
      <w:r w:rsidR="000453DC" w:rsidRPr="00A23BFB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A23BFB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0453DC" w:rsidRPr="00A23BFB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A23BFB">
        <w:rPr>
          <w:rFonts w:ascii="Times New Roman" w:eastAsia="Times New Roman" w:hAnsi="Times New Roman"/>
          <w:sz w:val="24"/>
          <w:szCs w:val="24"/>
          <w:lang w:eastAsia="ru-RU"/>
        </w:rPr>
        <w:t>% до 81,</w:t>
      </w:r>
      <w:r w:rsidR="000453DC" w:rsidRPr="00A23BFB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A23BFB">
        <w:rPr>
          <w:rFonts w:ascii="Times New Roman" w:eastAsia="Times New Roman" w:hAnsi="Times New Roman"/>
          <w:sz w:val="24"/>
          <w:szCs w:val="24"/>
          <w:lang w:eastAsia="ru-RU"/>
        </w:rPr>
        <w:t xml:space="preserve">%. </w:t>
      </w:r>
    </w:p>
    <w:p w:rsidR="00D57439" w:rsidRPr="00A23BFB" w:rsidRDefault="00D57439" w:rsidP="00D5743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3BF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Объем кредитов юридическим лицам за </w:t>
      </w:r>
      <w:r w:rsidR="000453DC" w:rsidRPr="00A23BFB">
        <w:rPr>
          <w:rFonts w:ascii="Times New Roman" w:eastAsia="Times New Roman" w:hAnsi="Times New Roman"/>
          <w:sz w:val="24"/>
          <w:szCs w:val="24"/>
          <w:lang w:eastAsia="ru-RU"/>
        </w:rPr>
        <w:t>июнь</w:t>
      </w:r>
      <w:r w:rsidRPr="00A23BFB">
        <w:rPr>
          <w:rFonts w:ascii="Times New Roman" w:eastAsia="Times New Roman" w:hAnsi="Times New Roman"/>
          <w:sz w:val="24"/>
          <w:szCs w:val="24"/>
          <w:lang w:eastAsia="ru-RU"/>
        </w:rPr>
        <w:t xml:space="preserve"> 2013 года повысился на </w:t>
      </w:r>
      <w:r w:rsidR="000453DC" w:rsidRPr="00A23BFB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A23BFB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0453DC" w:rsidRPr="00A23BFB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A23BFB">
        <w:rPr>
          <w:rFonts w:ascii="Times New Roman" w:eastAsia="Times New Roman" w:hAnsi="Times New Roman"/>
          <w:sz w:val="24"/>
          <w:szCs w:val="24"/>
          <w:lang w:eastAsia="ru-RU"/>
        </w:rPr>
        <w:t>% до  73</w:t>
      </w:r>
      <w:r w:rsidR="003A57FA" w:rsidRPr="00A23BFB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A23BFB">
        <w:rPr>
          <w:rFonts w:ascii="Times New Roman" w:eastAsia="Times New Roman" w:hAnsi="Times New Roman"/>
          <w:sz w:val="24"/>
          <w:szCs w:val="24"/>
          <w:lang w:eastAsia="ru-RU"/>
        </w:rPr>
        <w:t>4,</w:t>
      </w:r>
      <w:r w:rsidR="003A57FA" w:rsidRPr="00A23BFB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A23BFB">
        <w:rPr>
          <w:rFonts w:ascii="Times New Roman" w:eastAsia="Times New Roman" w:hAnsi="Times New Roman"/>
          <w:sz w:val="24"/>
          <w:szCs w:val="24"/>
          <w:lang w:eastAsia="ru-RU"/>
        </w:rPr>
        <w:t xml:space="preserve"> млрд. тенге, физическим лицам увеличился на 2,</w:t>
      </w:r>
      <w:r w:rsidR="003A57FA" w:rsidRPr="00A23BFB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A23BFB">
        <w:rPr>
          <w:rFonts w:ascii="Times New Roman" w:eastAsia="Times New Roman" w:hAnsi="Times New Roman"/>
          <w:sz w:val="24"/>
          <w:szCs w:val="24"/>
          <w:lang w:eastAsia="ru-RU"/>
        </w:rPr>
        <w:t>% до 3</w:t>
      </w:r>
      <w:r w:rsidR="003A57FA" w:rsidRPr="00A23BFB">
        <w:rPr>
          <w:rFonts w:ascii="Times New Roman" w:eastAsia="Times New Roman" w:hAnsi="Times New Roman"/>
          <w:sz w:val="24"/>
          <w:szCs w:val="24"/>
          <w:lang w:eastAsia="ru-RU"/>
        </w:rPr>
        <w:t>220</w:t>
      </w:r>
      <w:r w:rsidRPr="00A23BFB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3A57FA" w:rsidRPr="00A23BFB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A23BFB">
        <w:rPr>
          <w:rFonts w:ascii="Times New Roman" w:eastAsia="Times New Roman" w:hAnsi="Times New Roman"/>
          <w:sz w:val="24"/>
          <w:szCs w:val="24"/>
          <w:lang w:eastAsia="ru-RU"/>
        </w:rPr>
        <w:t xml:space="preserve"> млрд. тенге. Удельный вес кредитов физическим лицам увеличился за месяц с </w:t>
      </w:r>
      <w:r w:rsidR="003A57FA" w:rsidRPr="00A23BFB">
        <w:rPr>
          <w:rFonts w:ascii="Times New Roman" w:eastAsia="Times New Roman" w:hAnsi="Times New Roman"/>
          <w:sz w:val="24"/>
          <w:szCs w:val="24"/>
          <w:lang w:eastAsia="ru-RU"/>
        </w:rPr>
        <w:t>30</w:t>
      </w:r>
      <w:r w:rsidRPr="00A23BFB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3A57FA" w:rsidRPr="00A23BFB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A23BFB">
        <w:rPr>
          <w:rFonts w:ascii="Times New Roman" w:eastAsia="Times New Roman" w:hAnsi="Times New Roman"/>
          <w:sz w:val="24"/>
          <w:szCs w:val="24"/>
          <w:lang w:eastAsia="ru-RU"/>
        </w:rPr>
        <w:t>% до 30,</w:t>
      </w:r>
      <w:r w:rsidR="003A57FA" w:rsidRPr="00A23BFB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A23BFB">
        <w:rPr>
          <w:rFonts w:ascii="Times New Roman" w:eastAsia="Times New Roman" w:hAnsi="Times New Roman"/>
          <w:sz w:val="24"/>
          <w:szCs w:val="24"/>
          <w:lang w:eastAsia="ru-RU"/>
        </w:rPr>
        <w:t>%.</w:t>
      </w:r>
    </w:p>
    <w:p w:rsidR="00CE7300" w:rsidRPr="00A23BFB" w:rsidRDefault="00CE7300" w:rsidP="00CE730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3BFB">
        <w:rPr>
          <w:rFonts w:ascii="Times New Roman" w:eastAsia="Times New Roman" w:hAnsi="Times New Roman"/>
          <w:sz w:val="24"/>
          <w:szCs w:val="24"/>
          <w:lang w:eastAsia="ru-RU"/>
        </w:rPr>
        <w:t xml:space="preserve">Кредитование субъектов малого предпринимательства за </w:t>
      </w:r>
      <w:r w:rsidR="003A57FA" w:rsidRPr="00A23BFB">
        <w:rPr>
          <w:rFonts w:ascii="Times New Roman" w:eastAsia="Times New Roman" w:hAnsi="Times New Roman"/>
          <w:sz w:val="24"/>
          <w:szCs w:val="24"/>
          <w:lang w:eastAsia="ru-RU"/>
        </w:rPr>
        <w:t>июнь</w:t>
      </w:r>
      <w:r w:rsidRPr="00A23BFB">
        <w:rPr>
          <w:rFonts w:ascii="Times New Roman" w:eastAsia="Times New Roman" w:hAnsi="Times New Roman"/>
          <w:sz w:val="24"/>
          <w:szCs w:val="24"/>
          <w:lang w:eastAsia="ru-RU"/>
        </w:rPr>
        <w:t xml:space="preserve"> 2013 года повысилось на </w:t>
      </w:r>
      <w:r w:rsidR="003A57FA" w:rsidRPr="00A23BFB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A23BFB">
        <w:rPr>
          <w:rFonts w:ascii="Times New Roman" w:eastAsia="Times New Roman" w:hAnsi="Times New Roman"/>
          <w:sz w:val="24"/>
          <w:szCs w:val="24"/>
          <w:lang w:eastAsia="ru-RU"/>
        </w:rPr>
        <w:t>,0% до 14</w:t>
      </w:r>
      <w:r w:rsidR="003A57FA" w:rsidRPr="00A23BFB">
        <w:rPr>
          <w:rFonts w:ascii="Times New Roman" w:eastAsia="Times New Roman" w:hAnsi="Times New Roman"/>
          <w:sz w:val="24"/>
          <w:szCs w:val="24"/>
          <w:lang w:eastAsia="ru-RU"/>
        </w:rPr>
        <w:t>73</w:t>
      </w:r>
      <w:r w:rsidRPr="00A23BFB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3A57FA" w:rsidRPr="00A23BFB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A23BFB">
        <w:rPr>
          <w:rFonts w:ascii="Times New Roman" w:eastAsia="Times New Roman" w:hAnsi="Times New Roman"/>
          <w:sz w:val="24"/>
          <w:szCs w:val="24"/>
          <w:lang w:eastAsia="ru-RU"/>
        </w:rPr>
        <w:t xml:space="preserve"> млрд. тенге (с начала года рост на </w:t>
      </w:r>
      <w:r w:rsidR="00424594" w:rsidRPr="00A23BFB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A23BFB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424594" w:rsidRPr="00A23BFB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A23BFB">
        <w:rPr>
          <w:rFonts w:ascii="Times New Roman" w:eastAsia="Times New Roman" w:hAnsi="Times New Roman"/>
          <w:sz w:val="24"/>
          <w:szCs w:val="24"/>
          <w:lang w:eastAsia="ru-RU"/>
        </w:rPr>
        <w:t>%), что составляет 14,</w:t>
      </w:r>
      <w:r w:rsidR="00424594" w:rsidRPr="00A23BFB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A23BFB">
        <w:rPr>
          <w:rFonts w:ascii="Times New Roman" w:eastAsia="Times New Roman" w:hAnsi="Times New Roman"/>
          <w:sz w:val="24"/>
          <w:szCs w:val="24"/>
          <w:lang w:eastAsia="ru-RU"/>
        </w:rPr>
        <w:t xml:space="preserve">% от общего объема кредитов экономике. </w:t>
      </w:r>
    </w:p>
    <w:p w:rsidR="00D57439" w:rsidRPr="00A23BFB" w:rsidRDefault="00D57439" w:rsidP="00D5743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3BFB">
        <w:rPr>
          <w:rFonts w:ascii="Times New Roman" w:eastAsia="Times New Roman" w:hAnsi="Times New Roman"/>
          <w:sz w:val="24"/>
          <w:szCs w:val="24"/>
          <w:lang w:eastAsia="ru-RU"/>
        </w:rPr>
        <w:t>В отраслевой разбивке наиболее значительная сумма кредитов банков экономике приходится на такие отрасли, как торговля (доля в общем объеме – 19,</w:t>
      </w:r>
      <w:r w:rsidR="00424594" w:rsidRPr="00A23BFB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A23BFB">
        <w:rPr>
          <w:rFonts w:ascii="Times New Roman" w:eastAsia="Times New Roman" w:hAnsi="Times New Roman"/>
          <w:sz w:val="24"/>
          <w:szCs w:val="24"/>
          <w:lang w:eastAsia="ru-RU"/>
        </w:rPr>
        <w:t>%), строительство (13,</w:t>
      </w:r>
      <w:r w:rsidR="00A23BFB" w:rsidRPr="00A23BFB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A23BFB">
        <w:rPr>
          <w:rFonts w:ascii="Times New Roman" w:eastAsia="Times New Roman" w:hAnsi="Times New Roman"/>
          <w:sz w:val="24"/>
          <w:szCs w:val="24"/>
          <w:lang w:eastAsia="ru-RU"/>
        </w:rPr>
        <w:t>%), промышленность (1</w:t>
      </w:r>
      <w:r w:rsidR="00A23BFB" w:rsidRPr="00A23BFB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A23BFB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A23BFB" w:rsidRPr="00A23BFB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A23BFB">
        <w:rPr>
          <w:rFonts w:ascii="Times New Roman" w:eastAsia="Times New Roman" w:hAnsi="Times New Roman"/>
          <w:sz w:val="24"/>
          <w:szCs w:val="24"/>
          <w:lang w:eastAsia="ru-RU"/>
        </w:rPr>
        <w:t>%), транспорт (</w:t>
      </w:r>
      <w:r w:rsidR="00A23BFB" w:rsidRPr="00A23BFB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A23BFB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A23BFB" w:rsidRPr="00A23BFB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A23BFB">
        <w:rPr>
          <w:rFonts w:ascii="Times New Roman" w:eastAsia="Times New Roman" w:hAnsi="Times New Roman"/>
          <w:sz w:val="24"/>
          <w:szCs w:val="24"/>
          <w:lang w:eastAsia="ru-RU"/>
        </w:rPr>
        <w:t>%) и сельское хозяйство (3,0%).</w:t>
      </w:r>
    </w:p>
    <w:p w:rsidR="00D57439" w:rsidRPr="00A23BFB" w:rsidRDefault="00D57439" w:rsidP="00D5743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3BFB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 w:rsidR="00A23BFB" w:rsidRPr="00A23BFB">
        <w:rPr>
          <w:rFonts w:ascii="Times New Roman" w:eastAsia="Times New Roman" w:hAnsi="Times New Roman"/>
          <w:sz w:val="24"/>
          <w:szCs w:val="24"/>
          <w:lang w:eastAsia="ru-RU"/>
        </w:rPr>
        <w:t>июне</w:t>
      </w:r>
      <w:r w:rsidRPr="00A23BFB">
        <w:rPr>
          <w:rFonts w:ascii="Times New Roman" w:eastAsia="Times New Roman" w:hAnsi="Times New Roman"/>
          <w:sz w:val="24"/>
          <w:szCs w:val="24"/>
          <w:lang w:eastAsia="ru-RU"/>
        </w:rPr>
        <w:t xml:space="preserve"> 2013 года средневзвешенная ставка вознаграждения по кредитам, выданным в национальной валюте небанковским ю</w:t>
      </w:r>
      <w:r w:rsidR="00A23BFB" w:rsidRPr="00A23BFB">
        <w:rPr>
          <w:rFonts w:ascii="Times New Roman" w:eastAsia="Times New Roman" w:hAnsi="Times New Roman"/>
          <w:sz w:val="24"/>
          <w:szCs w:val="24"/>
          <w:lang w:eastAsia="ru-RU"/>
        </w:rPr>
        <w:t>ридическим лицам, составила 10,3</w:t>
      </w:r>
      <w:r w:rsidRPr="00A23BFB">
        <w:rPr>
          <w:rFonts w:ascii="Times New Roman" w:eastAsia="Times New Roman" w:hAnsi="Times New Roman"/>
          <w:sz w:val="24"/>
          <w:szCs w:val="24"/>
          <w:lang w:eastAsia="ru-RU"/>
        </w:rPr>
        <w:t xml:space="preserve">% (в </w:t>
      </w:r>
      <w:r w:rsidR="00A23BFB" w:rsidRPr="00A23BFB">
        <w:rPr>
          <w:rFonts w:ascii="Times New Roman" w:eastAsia="Times New Roman" w:hAnsi="Times New Roman"/>
          <w:sz w:val="24"/>
          <w:szCs w:val="24"/>
          <w:lang w:eastAsia="ru-RU"/>
        </w:rPr>
        <w:t>мае</w:t>
      </w:r>
      <w:r w:rsidRPr="00A23BFB">
        <w:rPr>
          <w:rFonts w:ascii="Times New Roman" w:eastAsia="Times New Roman" w:hAnsi="Times New Roman"/>
          <w:sz w:val="24"/>
          <w:szCs w:val="24"/>
          <w:lang w:eastAsia="ru-RU"/>
        </w:rPr>
        <w:t xml:space="preserve"> 2013 года – 10,</w:t>
      </w:r>
      <w:r w:rsidR="00A23BFB" w:rsidRPr="00A23BFB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A23BFB">
        <w:rPr>
          <w:rFonts w:ascii="Times New Roman" w:eastAsia="Times New Roman" w:hAnsi="Times New Roman"/>
          <w:sz w:val="24"/>
          <w:szCs w:val="24"/>
          <w:lang w:eastAsia="ru-RU"/>
        </w:rPr>
        <w:t xml:space="preserve">%), физическим лицам – </w:t>
      </w:r>
      <w:r w:rsidR="00A23BFB" w:rsidRPr="00A23BFB">
        <w:rPr>
          <w:rFonts w:ascii="Times New Roman" w:eastAsia="Times New Roman" w:hAnsi="Times New Roman"/>
          <w:sz w:val="24"/>
          <w:szCs w:val="24"/>
          <w:lang w:eastAsia="ru-RU"/>
        </w:rPr>
        <w:t>19</w:t>
      </w:r>
      <w:r w:rsidRPr="00A23BFB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A23BFB" w:rsidRPr="00A23BFB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A23BFB">
        <w:rPr>
          <w:rFonts w:ascii="Times New Roman" w:eastAsia="Times New Roman" w:hAnsi="Times New Roman"/>
          <w:sz w:val="24"/>
          <w:szCs w:val="24"/>
          <w:lang w:eastAsia="ru-RU"/>
        </w:rPr>
        <w:t>% (2</w:t>
      </w:r>
      <w:r w:rsidR="00A23BFB" w:rsidRPr="00A23BFB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A23BFB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A23BFB" w:rsidRPr="00A23BFB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A23BFB">
        <w:rPr>
          <w:rFonts w:ascii="Times New Roman" w:eastAsia="Times New Roman" w:hAnsi="Times New Roman"/>
          <w:sz w:val="24"/>
          <w:szCs w:val="24"/>
          <w:lang w:eastAsia="ru-RU"/>
        </w:rPr>
        <w:t>%).</w:t>
      </w:r>
    </w:p>
    <w:p w:rsidR="00163604" w:rsidRPr="00A23BFB" w:rsidRDefault="00163604" w:rsidP="0005512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B458A" w:rsidRPr="00045DA2" w:rsidRDefault="00BB458A" w:rsidP="00BB458A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FFFFFF" w:themeColor="background1"/>
          <w:sz w:val="24"/>
          <w:szCs w:val="24"/>
          <w:lang w:eastAsia="ru-RU"/>
        </w:rPr>
      </w:pPr>
      <w:r w:rsidRPr="00045DA2">
        <w:rPr>
          <w:rFonts w:ascii="Times New Roman" w:eastAsia="Times New Roman" w:hAnsi="Times New Roman"/>
          <w:color w:val="FFFFFF" w:themeColor="background1"/>
          <w:sz w:val="24"/>
          <w:szCs w:val="24"/>
          <w:lang w:eastAsia="ru-RU"/>
        </w:rPr>
        <w:t xml:space="preserve">С начала 2013 года зарегистрировано 13 выпусков облигаций банков на сумму 124 млрд. тенге, из которых на 1 июня 2013 года размещено облигаций на </w:t>
      </w:r>
      <w:r w:rsidR="00EB6446" w:rsidRPr="00045DA2">
        <w:rPr>
          <w:rFonts w:ascii="Times New Roman" w:eastAsia="Times New Roman" w:hAnsi="Times New Roman"/>
          <w:color w:val="FFFFFF" w:themeColor="background1"/>
          <w:sz w:val="24"/>
          <w:szCs w:val="24"/>
          <w:lang w:eastAsia="ru-RU"/>
        </w:rPr>
        <w:t>50 966,1</w:t>
      </w:r>
      <w:r w:rsidRPr="00045DA2">
        <w:rPr>
          <w:rFonts w:ascii="Times New Roman" w:eastAsia="Times New Roman" w:hAnsi="Times New Roman"/>
          <w:color w:val="FFFFFF" w:themeColor="background1"/>
          <w:sz w:val="24"/>
          <w:szCs w:val="24"/>
          <w:lang w:eastAsia="ru-RU"/>
        </w:rPr>
        <w:t>млн. тенге</w:t>
      </w:r>
      <w:r w:rsidR="00EB6446" w:rsidRPr="00045DA2">
        <w:rPr>
          <w:rFonts w:ascii="Times New Roman" w:eastAsia="Times New Roman" w:hAnsi="Times New Roman"/>
          <w:color w:val="FFFFFF" w:themeColor="background1"/>
          <w:sz w:val="24"/>
          <w:szCs w:val="24"/>
          <w:lang w:eastAsia="ru-RU"/>
        </w:rPr>
        <w:t xml:space="preserve"> в рамках старых и новых выпусков</w:t>
      </w:r>
      <w:r w:rsidRPr="00045DA2">
        <w:rPr>
          <w:rFonts w:ascii="Times New Roman" w:eastAsia="Times New Roman" w:hAnsi="Times New Roman"/>
          <w:color w:val="FFFFFF" w:themeColor="background1"/>
          <w:sz w:val="24"/>
          <w:szCs w:val="24"/>
          <w:lang w:eastAsia="ru-RU"/>
        </w:rPr>
        <w:t>.</w:t>
      </w:r>
    </w:p>
    <w:sectPr w:rsidR="00BB458A" w:rsidRPr="00045DA2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7934" w:rsidRDefault="00477934" w:rsidP="00131E40">
      <w:pPr>
        <w:spacing w:after="0" w:line="240" w:lineRule="auto"/>
      </w:pPr>
      <w:r>
        <w:separator/>
      </w:r>
    </w:p>
  </w:endnote>
  <w:endnote w:type="continuationSeparator" w:id="0">
    <w:p w:rsidR="00477934" w:rsidRDefault="00477934" w:rsidP="00131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00936588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131E40" w:rsidRPr="006C0950" w:rsidRDefault="00131E40">
        <w:pPr>
          <w:pStyle w:val="a8"/>
          <w:jc w:val="right"/>
          <w:rPr>
            <w:rFonts w:ascii="Times New Roman" w:hAnsi="Times New Roman"/>
            <w:sz w:val="24"/>
            <w:szCs w:val="24"/>
          </w:rPr>
        </w:pPr>
        <w:r w:rsidRPr="006C0950">
          <w:rPr>
            <w:rFonts w:ascii="Times New Roman" w:hAnsi="Times New Roman"/>
            <w:sz w:val="24"/>
            <w:szCs w:val="24"/>
          </w:rPr>
          <w:fldChar w:fldCharType="begin"/>
        </w:r>
        <w:r w:rsidRPr="006C0950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6C0950">
          <w:rPr>
            <w:rFonts w:ascii="Times New Roman" w:hAnsi="Times New Roman"/>
            <w:sz w:val="24"/>
            <w:szCs w:val="24"/>
          </w:rPr>
          <w:fldChar w:fldCharType="separate"/>
        </w:r>
        <w:r w:rsidR="00201E3D">
          <w:rPr>
            <w:rFonts w:ascii="Times New Roman" w:hAnsi="Times New Roman"/>
            <w:noProof/>
            <w:sz w:val="24"/>
            <w:szCs w:val="24"/>
          </w:rPr>
          <w:t>2</w:t>
        </w:r>
        <w:r w:rsidRPr="006C0950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131E40" w:rsidRDefault="00131E4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7934" w:rsidRDefault="00477934" w:rsidP="00131E40">
      <w:pPr>
        <w:spacing w:after="0" w:line="240" w:lineRule="auto"/>
      </w:pPr>
      <w:r>
        <w:separator/>
      </w:r>
    </w:p>
  </w:footnote>
  <w:footnote w:type="continuationSeparator" w:id="0">
    <w:p w:rsidR="00477934" w:rsidRDefault="00477934" w:rsidP="00131E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16D48"/>
    <w:multiLevelType w:val="hybridMultilevel"/>
    <w:tmpl w:val="47C02110"/>
    <w:lvl w:ilvl="0" w:tplc="1DE6830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6907A6"/>
    <w:multiLevelType w:val="hybridMultilevel"/>
    <w:tmpl w:val="D820C310"/>
    <w:lvl w:ilvl="0" w:tplc="1DE6830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0419000F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">
    <w:nsid w:val="21FB622F"/>
    <w:multiLevelType w:val="hybridMultilevel"/>
    <w:tmpl w:val="E982E6AE"/>
    <w:lvl w:ilvl="0" w:tplc="1DE6830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C63C40"/>
    <w:multiLevelType w:val="hybridMultilevel"/>
    <w:tmpl w:val="6AAEF474"/>
    <w:lvl w:ilvl="0" w:tplc="1DE6830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6175ED"/>
    <w:multiLevelType w:val="hybridMultilevel"/>
    <w:tmpl w:val="9F3AE8EC"/>
    <w:lvl w:ilvl="0" w:tplc="1DE6830E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6A4115A5"/>
    <w:multiLevelType w:val="hybridMultilevel"/>
    <w:tmpl w:val="0B40E2E0"/>
    <w:lvl w:ilvl="0" w:tplc="1DE6830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BC2C21"/>
    <w:multiLevelType w:val="hybridMultilevel"/>
    <w:tmpl w:val="758C19A4"/>
    <w:lvl w:ilvl="0" w:tplc="1DE6830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76515CE9"/>
    <w:multiLevelType w:val="hybridMultilevel"/>
    <w:tmpl w:val="47C02110"/>
    <w:lvl w:ilvl="0" w:tplc="1DE6830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6D11FD"/>
    <w:multiLevelType w:val="hybridMultilevel"/>
    <w:tmpl w:val="D820C310"/>
    <w:lvl w:ilvl="0" w:tplc="1DE6830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0419000F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4"/>
  </w:num>
  <w:num w:numId="5">
    <w:abstractNumId w:val="6"/>
  </w:num>
  <w:num w:numId="6">
    <w:abstractNumId w:val="2"/>
  </w:num>
  <w:num w:numId="7">
    <w:abstractNumId w:val="7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68D"/>
    <w:rsid w:val="00005FB3"/>
    <w:rsid w:val="000345A4"/>
    <w:rsid w:val="00034D5D"/>
    <w:rsid w:val="00041987"/>
    <w:rsid w:val="000453DC"/>
    <w:rsid w:val="00045DA2"/>
    <w:rsid w:val="00052CEE"/>
    <w:rsid w:val="00055120"/>
    <w:rsid w:val="00081DBF"/>
    <w:rsid w:val="000D1B63"/>
    <w:rsid w:val="000D2CA7"/>
    <w:rsid w:val="000D7A72"/>
    <w:rsid w:val="000E33B0"/>
    <w:rsid w:val="0013049B"/>
    <w:rsid w:val="00131E40"/>
    <w:rsid w:val="00132939"/>
    <w:rsid w:val="001359F4"/>
    <w:rsid w:val="001601BE"/>
    <w:rsid w:val="00163604"/>
    <w:rsid w:val="00171942"/>
    <w:rsid w:val="0017194C"/>
    <w:rsid w:val="00177AFE"/>
    <w:rsid w:val="00197D16"/>
    <w:rsid w:val="001A52BE"/>
    <w:rsid w:val="001B1A0F"/>
    <w:rsid w:val="001B1BF2"/>
    <w:rsid w:val="001D3B6A"/>
    <w:rsid w:val="001D63DE"/>
    <w:rsid w:val="002015B1"/>
    <w:rsid w:val="00201E3D"/>
    <w:rsid w:val="0021002E"/>
    <w:rsid w:val="002121E2"/>
    <w:rsid w:val="00221E8C"/>
    <w:rsid w:val="00224FD7"/>
    <w:rsid w:val="00227F7C"/>
    <w:rsid w:val="00236279"/>
    <w:rsid w:val="002454B4"/>
    <w:rsid w:val="002455E9"/>
    <w:rsid w:val="00260231"/>
    <w:rsid w:val="00275A29"/>
    <w:rsid w:val="00275EC6"/>
    <w:rsid w:val="002B060B"/>
    <w:rsid w:val="002B0817"/>
    <w:rsid w:val="002C2DF0"/>
    <w:rsid w:val="002D6586"/>
    <w:rsid w:val="002E011E"/>
    <w:rsid w:val="002E04D5"/>
    <w:rsid w:val="002F6926"/>
    <w:rsid w:val="003045D7"/>
    <w:rsid w:val="003066DF"/>
    <w:rsid w:val="00307203"/>
    <w:rsid w:val="003210FB"/>
    <w:rsid w:val="00326371"/>
    <w:rsid w:val="003269F0"/>
    <w:rsid w:val="00337A7A"/>
    <w:rsid w:val="00340092"/>
    <w:rsid w:val="00342A60"/>
    <w:rsid w:val="00344272"/>
    <w:rsid w:val="00345195"/>
    <w:rsid w:val="0034675B"/>
    <w:rsid w:val="003568EF"/>
    <w:rsid w:val="00360992"/>
    <w:rsid w:val="00363055"/>
    <w:rsid w:val="003758DA"/>
    <w:rsid w:val="003A57FA"/>
    <w:rsid w:val="003C3171"/>
    <w:rsid w:val="003F0926"/>
    <w:rsid w:val="00404710"/>
    <w:rsid w:val="00423540"/>
    <w:rsid w:val="00424594"/>
    <w:rsid w:val="00426E25"/>
    <w:rsid w:val="004273AC"/>
    <w:rsid w:val="00431684"/>
    <w:rsid w:val="00470B90"/>
    <w:rsid w:val="00472C57"/>
    <w:rsid w:val="0047332B"/>
    <w:rsid w:val="00477934"/>
    <w:rsid w:val="00492065"/>
    <w:rsid w:val="004933B9"/>
    <w:rsid w:val="00494D62"/>
    <w:rsid w:val="00495D71"/>
    <w:rsid w:val="004A0268"/>
    <w:rsid w:val="004B1BCC"/>
    <w:rsid w:val="004B574A"/>
    <w:rsid w:val="004D3814"/>
    <w:rsid w:val="004D5022"/>
    <w:rsid w:val="004D6890"/>
    <w:rsid w:val="004E2BF1"/>
    <w:rsid w:val="004E609A"/>
    <w:rsid w:val="004F2A02"/>
    <w:rsid w:val="004F62D7"/>
    <w:rsid w:val="0050390A"/>
    <w:rsid w:val="00506E0E"/>
    <w:rsid w:val="00512B0F"/>
    <w:rsid w:val="00512B47"/>
    <w:rsid w:val="00516DE3"/>
    <w:rsid w:val="0052499C"/>
    <w:rsid w:val="00533C2D"/>
    <w:rsid w:val="00554018"/>
    <w:rsid w:val="00557D13"/>
    <w:rsid w:val="00561F92"/>
    <w:rsid w:val="0056604D"/>
    <w:rsid w:val="005869DE"/>
    <w:rsid w:val="00586B76"/>
    <w:rsid w:val="00595CA7"/>
    <w:rsid w:val="005A1F86"/>
    <w:rsid w:val="005B676D"/>
    <w:rsid w:val="005C28CF"/>
    <w:rsid w:val="005C2E30"/>
    <w:rsid w:val="005C713A"/>
    <w:rsid w:val="005D755C"/>
    <w:rsid w:val="005E42E8"/>
    <w:rsid w:val="0060476D"/>
    <w:rsid w:val="0060797B"/>
    <w:rsid w:val="00610DC1"/>
    <w:rsid w:val="00631F1E"/>
    <w:rsid w:val="00665BDA"/>
    <w:rsid w:val="00673103"/>
    <w:rsid w:val="00673A65"/>
    <w:rsid w:val="00673AA5"/>
    <w:rsid w:val="00684618"/>
    <w:rsid w:val="00696065"/>
    <w:rsid w:val="006A7874"/>
    <w:rsid w:val="006C0950"/>
    <w:rsid w:val="006C2830"/>
    <w:rsid w:val="006C5563"/>
    <w:rsid w:val="006F2800"/>
    <w:rsid w:val="006F3072"/>
    <w:rsid w:val="006F4ADD"/>
    <w:rsid w:val="007030EC"/>
    <w:rsid w:val="00712DA9"/>
    <w:rsid w:val="007215A1"/>
    <w:rsid w:val="007300F1"/>
    <w:rsid w:val="00743205"/>
    <w:rsid w:val="0074323E"/>
    <w:rsid w:val="00750FDF"/>
    <w:rsid w:val="00761966"/>
    <w:rsid w:val="007657F2"/>
    <w:rsid w:val="007745CD"/>
    <w:rsid w:val="00781270"/>
    <w:rsid w:val="007959B1"/>
    <w:rsid w:val="007976AD"/>
    <w:rsid w:val="007A3627"/>
    <w:rsid w:val="007B72CB"/>
    <w:rsid w:val="007D10BE"/>
    <w:rsid w:val="007D32E9"/>
    <w:rsid w:val="007E2876"/>
    <w:rsid w:val="007E468D"/>
    <w:rsid w:val="007E4F49"/>
    <w:rsid w:val="007E7D0B"/>
    <w:rsid w:val="008018BA"/>
    <w:rsid w:val="0080541D"/>
    <w:rsid w:val="0080667B"/>
    <w:rsid w:val="00833554"/>
    <w:rsid w:val="00837388"/>
    <w:rsid w:val="0085232C"/>
    <w:rsid w:val="00864B61"/>
    <w:rsid w:val="008705A4"/>
    <w:rsid w:val="00874D76"/>
    <w:rsid w:val="0087659B"/>
    <w:rsid w:val="008774EE"/>
    <w:rsid w:val="00877BFD"/>
    <w:rsid w:val="00880076"/>
    <w:rsid w:val="008809CD"/>
    <w:rsid w:val="00892467"/>
    <w:rsid w:val="008964EE"/>
    <w:rsid w:val="008A547A"/>
    <w:rsid w:val="008A6EBC"/>
    <w:rsid w:val="008B1B89"/>
    <w:rsid w:val="008B292D"/>
    <w:rsid w:val="008C669C"/>
    <w:rsid w:val="008C6C10"/>
    <w:rsid w:val="008E27CE"/>
    <w:rsid w:val="009134F4"/>
    <w:rsid w:val="00947E9A"/>
    <w:rsid w:val="00950B39"/>
    <w:rsid w:val="00964500"/>
    <w:rsid w:val="00983259"/>
    <w:rsid w:val="00991529"/>
    <w:rsid w:val="00997426"/>
    <w:rsid w:val="009A13D5"/>
    <w:rsid w:val="009B3D8E"/>
    <w:rsid w:val="009C0260"/>
    <w:rsid w:val="009C2BD0"/>
    <w:rsid w:val="009C5C84"/>
    <w:rsid w:val="009C676A"/>
    <w:rsid w:val="009D77FD"/>
    <w:rsid w:val="009E3348"/>
    <w:rsid w:val="00A03E36"/>
    <w:rsid w:val="00A2260E"/>
    <w:rsid w:val="00A23BFB"/>
    <w:rsid w:val="00A33FB1"/>
    <w:rsid w:val="00A558BA"/>
    <w:rsid w:val="00A67423"/>
    <w:rsid w:val="00A9247C"/>
    <w:rsid w:val="00A96DE0"/>
    <w:rsid w:val="00AA0B58"/>
    <w:rsid w:val="00AC5B07"/>
    <w:rsid w:val="00AD5A42"/>
    <w:rsid w:val="00AD6B01"/>
    <w:rsid w:val="00AE49D8"/>
    <w:rsid w:val="00AE6E3C"/>
    <w:rsid w:val="00AF1682"/>
    <w:rsid w:val="00AF2B36"/>
    <w:rsid w:val="00AF5744"/>
    <w:rsid w:val="00B01CA6"/>
    <w:rsid w:val="00B05AAE"/>
    <w:rsid w:val="00B37AC9"/>
    <w:rsid w:val="00B93C35"/>
    <w:rsid w:val="00BB458A"/>
    <w:rsid w:val="00BC0245"/>
    <w:rsid w:val="00BC03B6"/>
    <w:rsid w:val="00BD38C5"/>
    <w:rsid w:val="00C033DB"/>
    <w:rsid w:val="00C077C0"/>
    <w:rsid w:val="00C14638"/>
    <w:rsid w:val="00C2060E"/>
    <w:rsid w:val="00C2595C"/>
    <w:rsid w:val="00C425E1"/>
    <w:rsid w:val="00C52CDE"/>
    <w:rsid w:val="00C80B33"/>
    <w:rsid w:val="00C87F0E"/>
    <w:rsid w:val="00CB4F03"/>
    <w:rsid w:val="00CC0D8D"/>
    <w:rsid w:val="00CC3E55"/>
    <w:rsid w:val="00CC4B4D"/>
    <w:rsid w:val="00CE7300"/>
    <w:rsid w:val="00CE79DA"/>
    <w:rsid w:val="00D14E49"/>
    <w:rsid w:val="00D25CEC"/>
    <w:rsid w:val="00D31FDC"/>
    <w:rsid w:val="00D35750"/>
    <w:rsid w:val="00D452C2"/>
    <w:rsid w:val="00D57439"/>
    <w:rsid w:val="00D8183C"/>
    <w:rsid w:val="00D83054"/>
    <w:rsid w:val="00D919CE"/>
    <w:rsid w:val="00D95F2C"/>
    <w:rsid w:val="00DB5A62"/>
    <w:rsid w:val="00DB7571"/>
    <w:rsid w:val="00DC2A10"/>
    <w:rsid w:val="00DC5010"/>
    <w:rsid w:val="00DF0C9F"/>
    <w:rsid w:val="00E01C65"/>
    <w:rsid w:val="00E21D75"/>
    <w:rsid w:val="00E22DAE"/>
    <w:rsid w:val="00E42F0D"/>
    <w:rsid w:val="00E434F1"/>
    <w:rsid w:val="00E467CF"/>
    <w:rsid w:val="00E602BD"/>
    <w:rsid w:val="00E61853"/>
    <w:rsid w:val="00E62AB9"/>
    <w:rsid w:val="00EA5980"/>
    <w:rsid w:val="00EB6446"/>
    <w:rsid w:val="00EC1B41"/>
    <w:rsid w:val="00EE4266"/>
    <w:rsid w:val="00EF1DEE"/>
    <w:rsid w:val="00EF2992"/>
    <w:rsid w:val="00F04D79"/>
    <w:rsid w:val="00F1480A"/>
    <w:rsid w:val="00F34676"/>
    <w:rsid w:val="00F36F06"/>
    <w:rsid w:val="00F37CD3"/>
    <w:rsid w:val="00F625E6"/>
    <w:rsid w:val="00F90397"/>
    <w:rsid w:val="00F927EA"/>
    <w:rsid w:val="00F97FD4"/>
    <w:rsid w:val="00FC2553"/>
    <w:rsid w:val="00FC5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24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02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0245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809CD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31E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31E40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131E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31E40"/>
    <w:rPr>
      <w:rFonts w:ascii="Calibri" w:eastAsia="Calibri" w:hAnsi="Calibri" w:cs="Times New Roman"/>
    </w:rPr>
  </w:style>
  <w:style w:type="paragraph" w:customStyle="1" w:styleId="aa">
    <w:name w:val="Инфляционный обзор_обычный"/>
    <w:basedOn w:val="a"/>
    <w:rsid w:val="00177AFE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hps">
    <w:name w:val="hps"/>
    <w:rsid w:val="00586B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24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02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0245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809CD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31E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31E40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131E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31E40"/>
    <w:rPr>
      <w:rFonts w:ascii="Calibri" w:eastAsia="Calibri" w:hAnsi="Calibri" w:cs="Times New Roman"/>
    </w:rPr>
  </w:style>
  <w:style w:type="paragraph" w:customStyle="1" w:styleId="aa">
    <w:name w:val="Инфляционный обзор_обычный"/>
    <w:basedOn w:val="a"/>
    <w:rsid w:val="00177AFE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hps">
    <w:name w:val="hps"/>
    <w:rsid w:val="00586B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166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7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chart" Target="charts/chart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7.9872204472843447E-2"/>
          <c:y val="6.1855670103092786E-2"/>
          <c:w val="0.92172523961661346"/>
          <c:h val="0.6082474226804123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Лист1!$A$3</c:f>
              <c:strCache>
                <c:ptCount val="1"/>
                <c:pt idx="0">
                  <c:v>2012 год</c:v>
                </c:pt>
              </c:strCache>
            </c:strRef>
          </c:tx>
          <c:spPr>
            <a:solidFill>
              <a:srgbClr val="00CCFF"/>
            </a:solidFill>
            <a:ln w="12713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Лист1!$B$2:$E$2</c:f>
              <c:strCache>
                <c:ptCount val="4"/>
                <c:pt idx="0">
                  <c:v>Инфляция</c:v>
                </c:pt>
                <c:pt idx="1">
                  <c:v>Продовольственные товары</c:v>
                </c:pt>
                <c:pt idx="2">
                  <c:v>Непродовольственные товары</c:v>
                </c:pt>
                <c:pt idx="3">
                  <c:v>Услуги</c:v>
                </c:pt>
              </c:strCache>
            </c:strRef>
          </c:cat>
          <c:val>
            <c:numRef>
              <c:f>Лист1!$B$3:$E$3</c:f>
              <c:numCache>
                <c:formatCode>General</c:formatCode>
                <c:ptCount val="4"/>
                <c:pt idx="0" formatCode="0.0">
                  <c:v>3</c:v>
                </c:pt>
                <c:pt idx="1">
                  <c:v>2.6</c:v>
                </c:pt>
                <c:pt idx="2">
                  <c:v>1.7</c:v>
                </c:pt>
                <c:pt idx="3">
                  <c:v>4.8</c:v>
                </c:pt>
              </c:numCache>
            </c:numRef>
          </c:val>
        </c:ser>
        <c:ser>
          <c:idx val="1"/>
          <c:order val="1"/>
          <c:tx>
            <c:strRef>
              <c:f>Лист1!$A$4</c:f>
              <c:strCache>
                <c:ptCount val="1"/>
                <c:pt idx="0">
                  <c:v>2013 год</c:v>
                </c:pt>
              </c:strCache>
            </c:strRef>
          </c:tx>
          <c:spPr>
            <a:solidFill>
              <a:srgbClr val="FFFF00"/>
            </a:solidFill>
            <a:ln w="12713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Лист1!$B$2:$E$2</c:f>
              <c:strCache>
                <c:ptCount val="4"/>
                <c:pt idx="0">
                  <c:v>Инфляция</c:v>
                </c:pt>
                <c:pt idx="1">
                  <c:v>Продовольственные товары</c:v>
                </c:pt>
                <c:pt idx="2">
                  <c:v>Непродовольственные товары</c:v>
                </c:pt>
                <c:pt idx="3">
                  <c:v>Услуги</c:v>
                </c:pt>
              </c:strCache>
            </c:strRef>
          </c:cat>
          <c:val>
            <c:numRef>
              <c:f>Лист1!$B$4:$E$4</c:f>
              <c:numCache>
                <c:formatCode>General</c:formatCode>
                <c:ptCount val="4"/>
                <c:pt idx="0" formatCode="0.0">
                  <c:v>2.8</c:v>
                </c:pt>
                <c:pt idx="1">
                  <c:v>1.8</c:v>
                </c:pt>
                <c:pt idx="2">
                  <c:v>1.3</c:v>
                </c:pt>
                <c:pt idx="3" formatCode="0.0">
                  <c:v>5.7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2001792"/>
        <c:axId val="48291136"/>
      </c:barChart>
      <c:catAx>
        <c:axId val="9200179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1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4829113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48291136"/>
        <c:scaling>
          <c:orientation val="minMax"/>
          <c:max val="6"/>
          <c:min val="0"/>
        </c:scaling>
        <c:delete val="0"/>
        <c:axPos val="l"/>
        <c:majorGridlines>
          <c:spPr>
            <a:ln w="3178">
              <a:solidFill>
                <a:srgbClr val="000000"/>
              </a:solidFill>
              <a:prstDash val="sysDash"/>
            </a:ln>
          </c:spPr>
        </c:majorGridlines>
        <c:title>
          <c:tx>
            <c:rich>
              <a:bodyPr rot="0" vert="horz"/>
              <a:lstStyle/>
              <a:p>
                <a:pPr algn="ctr">
                  <a:defRPr sz="901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%</a:t>
                </a:r>
              </a:p>
            </c:rich>
          </c:tx>
          <c:layout>
            <c:manualLayout>
              <c:xMode val="edge"/>
              <c:yMode val="edge"/>
              <c:x val="0"/>
              <c:y val="0.30412294048556088"/>
            </c:manualLayout>
          </c:layout>
          <c:overlay val="0"/>
          <c:spPr>
            <a:noFill/>
            <a:ln w="25426">
              <a:noFill/>
            </a:ln>
          </c:spPr>
        </c:title>
        <c:numFmt formatCode="0.0" sourceLinked="1"/>
        <c:majorTickMark val="out"/>
        <c:minorTickMark val="none"/>
        <c:tickLblPos val="nextTo"/>
        <c:spPr>
          <a:ln w="317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1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92001792"/>
        <c:crosses val="autoZero"/>
        <c:crossBetween val="between"/>
        <c:majorUnit val="1"/>
        <c:minorUnit val="1"/>
      </c:valAx>
      <c:spPr>
        <a:noFill/>
        <a:ln w="25426">
          <a:noFill/>
        </a:ln>
      </c:spPr>
    </c:plotArea>
    <c:legend>
      <c:legendPos val="r"/>
      <c:layout>
        <c:manualLayout>
          <c:xMode val="edge"/>
          <c:yMode val="edge"/>
          <c:x val="0.35463268076008997"/>
          <c:y val="0.902061869386378"/>
          <c:w val="0.35942508349572627"/>
          <c:h val="8.2474243263653491E-2"/>
        </c:manualLayout>
      </c:layout>
      <c:overlay val="0"/>
      <c:spPr>
        <a:solidFill>
          <a:srgbClr val="FFFFFF"/>
        </a:solidFill>
        <a:ln w="25426">
          <a:noFill/>
        </a:ln>
      </c:spPr>
      <c:txPr>
        <a:bodyPr/>
        <a:lstStyle/>
        <a:p>
          <a:pPr>
            <a:defRPr sz="921" b="0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>
      <a:noFill/>
    </a:ln>
  </c:spPr>
  <c:txPr>
    <a:bodyPr/>
    <a:lstStyle/>
    <a:p>
      <a:pPr>
        <a:defRPr sz="1001" b="0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162872-CC8C-405C-B289-49A54ABEA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1923</Words>
  <Characters>10963</Characters>
  <Application>Microsoft Office Word</Application>
  <DocSecurity>4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Исмаилханова</dc:creator>
  <cp:lastModifiedBy>John Magic</cp:lastModifiedBy>
  <cp:revision>2</cp:revision>
  <cp:lastPrinted>2013-08-05T09:30:00Z</cp:lastPrinted>
  <dcterms:created xsi:type="dcterms:W3CDTF">2013-08-15T10:29:00Z</dcterms:created>
  <dcterms:modified xsi:type="dcterms:W3CDTF">2013-08-15T10:29:00Z</dcterms:modified>
</cp:coreProperties>
</file>